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137" w:rsidRDefault="009762AF">
      <w:pPr>
        <w:pStyle w:val="CRCoverPage"/>
        <w:tabs>
          <w:tab w:val="right" w:pos="9639"/>
        </w:tabs>
        <w:spacing w:after="0"/>
        <w:jc w:val="both"/>
        <w:rPr>
          <w:rFonts w:ascii="Arial" w:hAnsi="Arial" w:cs="Verdana"/>
          <w:b/>
          <w:i/>
          <w:sz w:val="22"/>
          <w:szCs w:val="22"/>
          <w:lang w:val="en-GB" w:eastAsia="zh-CN"/>
        </w:rPr>
      </w:pPr>
      <w:bookmarkStart w:id="0" w:name="_Ref399006623"/>
      <w:bookmarkStart w:id="1" w:name="_Toc92513360"/>
      <w:r>
        <w:rPr>
          <w:rFonts w:ascii="Arial" w:hAnsi="Arial" w:cs="Verdana"/>
          <w:b/>
          <w:sz w:val="24"/>
          <w:szCs w:val="24"/>
          <w:lang w:eastAsia="zh-CN"/>
        </w:rPr>
        <w:t>3GPP TSG RAN WG2 #119-e</w:t>
      </w:r>
      <w:r>
        <w:rPr>
          <w:rFonts w:ascii="Arial" w:hAnsi="Arial" w:cs="Verdana"/>
          <w:b/>
          <w:i/>
          <w:sz w:val="22"/>
          <w:szCs w:val="22"/>
          <w:lang w:val="en-GB" w:eastAsia="zh-CN"/>
        </w:rPr>
        <w:tab/>
      </w:r>
      <w:r w:rsidR="00E80542" w:rsidRPr="00E80542">
        <w:rPr>
          <w:rFonts w:ascii="Arial" w:hAnsi="Arial" w:cs="Verdana"/>
          <w:b/>
          <w:i/>
          <w:sz w:val="22"/>
          <w:szCs w:val="22"/>
          <w:lang w:val="en-GB" w:eastAsia="zh-CN"/>
        </w:rPr>
        <w:t>R2-2207484</w:t>
      </w:r>
      <w:bookmarkStart w:id="2" w:name="_GoBack"/>
      <w:bookmarkEnd w:id="2"/>
    </w:p>
    <w:p w:rsidR="00287137" w:rsidRDefault="009762AF">
      <w:pPr>
        <w:tabs>
          <w:tab w:val="left" w:pos="1985"/>
          <w:tab w:val="right" w:pos="9639"/>
        </w:tabs>
        <w:spacing w:after="100" w:afterAutospacing="1"/>
        <w:jc w:val="both"/>
        <w:rPr>
          <w:rFonts w:ascii="Arial" w:eastAsia="Batang" w:hAnsi="Arial" w:cs="Verdana"/>
          <w:b/>
          <w:sz w:val="22"/>
          <w:szCs w:val="22"/>
          <w:lang w:val="en-US" w:eastAsia="zh-CN"/>
        </w:rPr>
      </w:pPr>
      <w:r>
        <w:rPr>
          <w:rFonts w:ascii="Arial" w:eastAsia="Batang" w:hAnsi="Arial" w:cs="Verdana"/>
          <w:b/>
          <w:sz w:val="22"/>
          <w:szCs w:val="22"/>
          <w:lang w:val="en-US" w:eastAsia="zh-CN"/>
        </w:rPr>
        <w:t xml:space="preserve">Online, </w:t>
      </w:r>
      <w:r w:rsidR="00C23BFA">
        <w:rPr>
          <w:rFonts w:ascii="Arial" w:eastAsia="Batang" w:hAnsi="Arial" w:cs="Verdana"/>
          <w:b/>
          <w:sz w:val="22"/>
          <w:szCs w:val="22"/>
          <w:lang w:val="en-US" w:eastAsia="zh-CN"/>
        </w:rPr>
        <w:t xml:space="preserve">17 </w:t>
      </w:r>
      <w:r>
        <w:rPr>
          <w:rFonts w:ascii="Arial" w:eastAsia="Batang" w:hAnsi="Arial" w:cs="Verdana"/>
          <w:b/>
          <w:sz w:val="22"/>
          <w:szCs w:val="22"/>
          <w:lang w:val="en-US" w:eastAsia="zh-CN"/>
        </w:rPr>
        <w:t xml:space="preserve">- </w:t>
      </w:r>
      <w:r w:rsidR="00C23BFA">
        <w:rPr>
          <w:rFonts w:ascii="Arial" w:eastAsia="Batang" w:hAnsi="Arial" w:cs="Verdana"/>
          <w:b/>
          <w:sz w:val="22"/>
          <w:szCs w:val="22"/>
          <w:lang w:val="en-US" w:eastAsia="zh-CN"/>
        </w:rPr>
        <w:t xml:space="preserve">29 </w:t>
      </w:r>
      <w:r>
        <w:rPr>
          <w:rFonts w:ascii="Arial" w:eastAsia="Batang" w:hAnsi="Arial" w:cs="Verdana"/>
          <w:b/>
          <w:sz w:val="22"/>
          <w:szCs w:val="22"/>
          <w:lang w:val="en-US" w:eastAsia="zh-CN"/>
        </w:rPr>
        <w:t xml:space="preserve">Aug, 2022                                                           </w:t>
      </w:r>
    </w:p>
    <w:p w:rsidR="00287137" w:rsidRDefault="009762AF">
      <w:pPr>
        <w:tabs>
          <w:tab w:val="left" w:pos="1985"/>
        </w:tabs>
        <w:jc w:val="both"/>
        <w:rPr>
          <w:rFonts w:ascii="Arial" w:eastAsia="Batang" w:hAnsi="Arial" w:cs="Verdana"/>
          <w:b/>
          <w:sz w:val="22"/>
          <w:lang w:eastAsia="zh-CN"/>
        </w:rPr>
      </w:pPr>
      <w:r>
        <w:rPr>
          <w:rFonts w:ascii="Arial" w:hAnsi="Arial" w:cs="Verdana"/>
          <w:b/>
          <w:sz w:val="22"/>
        </w:rPr>
        <w:t xml:space="preserve">Source: </w:t>
      </w:r>
      <w:r>
        <w:rPr>
          <w:rFonts w:ascii="Arial" w:hAnsi="Arial" w:cs="Verdana"/>
          <w:b/>
          <w:sz w:val="22"/>
        </w:rPr>
        <w:tab/>
      </w:r>
      <w:r>
        <w:rPr>
          <w:rFonts w:ascii="Arial" w:hAnsi="Arial" w:cs="Verdana"/>
          <w:sz w:val="22"/>
        </w:rPr>
        <w:t>Huawei</w:t>
      </w:r>
      <w:r>
        <w:rPr>
          <w:rFonts w:ascii="Arial" w:eastAsia="Batang" w:hAnsi="Arial" w:cs="Verdana"/>
          <w:sz w:val="22"/>
          <w:lang w:eastAsia="zh-CN"/>
        </w:rPr>
        <w:t>, HiSilicon</w:t>
      </w:r>
    </w:p>
    <w:p w:rsidR="00287137" w:rsidRDefault="009762AF">
      <w:pPr>
        <w:ind w:left="1985" w:hanging="1985"/>
        <w:jc w:val="both"/>
        <w:rPr>
          <w:rFonts w:ascii="Arial" w:eastAsia="Batang" w:hAnsi="Arial" w:cs="Verdana"/>
          <w:sz w:val="22"/>
          <w:lang w:eastAsia="zh-CN"/>
        </w:rPr>
      </w:pPr>
      <w:r>
        <w:rPr>
          <w:rFonts w:ascii="Arial" w:hAnsi="Arial" w:cs="Verdana"/>
          <w:b/>
          <w:sz w:val="22"/>
        </w:rPr>
        <w:t>Title:</w:t>
      </w:r>
      <w:r>
        <w:rPr>
          <w:rFonts w:ascii="Arial" w:hAnsi="Arial" w:cs="Verdana"/>
          <w:sz w:val="22"/>
        </w:rPr>
        <w:t xml:space="preserve"> </w:t>
      </w:r>
      <w:r>
        <w:rPr>
          <w:rFonts w:ascii="Arial" w:hAnsi="Arial" w:cs="Verdana"/>
          <w:sz w:val="22"/>
        </w:rPr>
        <w:tab/>
      </w:r>
      <w:r w:rsidR="000844C6" w:rsidRPr="000844C6">
        <w:rPr>
          <w:rFonts w:ascii="Arial" w:hAnsi="Arial" w:cs="Verdana"/>
          <w:sz w:val="22"/>
        </w:rPr>
        <w:t>Discussion on HARQ feedback disabling</w:t>
      </w:r>
    </w:p>
    <w:p w:rsidR="00287137" w:rsidRDefault="009762AF">
      <w:pPr>
        <w:tabs>
          <w:tab w:val="left" w:pos="1985"/>
        </w:tabs>
        <w:jc w:val="both"/>
        <w:rPr>
          <w:rFonts w:ascii="Arial" w:eastAsia="Batang" w:hAnsi="Arial" w:cs="Verdana"/>
          <w:sz w:val="22"/>
          <w:lang w:eastAsia="zh-CN"/>
        </w:rPr>
      </w:pPr>
      <w:r>
        <w:rPr>
          <w:rFonts w:ascii="Arial" w:hAnsi="Arial" w:cs="Verdana"/>
          <w:b/>
          <w:sz w:val="22"/>
        </w:rPr>
        <w:t>Agen</w:t>
      </w:r>
      <w:r>
        <w:rPr>
          <w:rFonts w:ascii="Arial" w:eastAsia="Batang" w:hAnsi="Arial" w:cs="Verdana"/>
          <w:b/>
          <w:sz w:val="22"/>
          <w:lang w:eastAsia="zh-CN"/>
        </w:rPr>
        <w:t>d</w:t>
      </w:r>
      <w:r>
        <w:rPr>
          <w:rFonts w:ascii="Arial" w:hAnsi="Arial" w:cs="Verdana"/>
          <w:b/>
          <w:sz w:val="22"/>
        </w:rPr>
        <w:t>a Item:</w:t>
      </w:r>
      <w:r>
        <w:rPr>
          <w:rFonts w:ascii="Arial" w:hAnsi="Arial" w:cs="Verdana"/>
          <w:sz w:val="22"/>
        </w:rPr>
        <w:tab/>
        <w:t>8.</w:t>
      </w:r>
      <w:r w:rsidR="000844C6">
        <w:rPr>
          <w:rFonts w:ascii="Arial" w:hAnsi="Arial" w:cs="Verdana"/>
          <w:sz w:val="22"/>
        </w:rPr>
        <w:t>6.2</w:t>
      </w:r>
    </w:p>
    <w:p w:rsidR="00287137" w:rsidRDefault="009762AF">
      <w:pPr>
        <w:tabs>
          <w:tab w:val="left" w:pos="1985"/>
        </w:tabs>
        <w:jc w:val="both"/>
        <w:rPr>
          <w:rFonts w:ascii="Arial" w:eastAsia="Batang" w:hAnsi="Arial" w:cs="Verdana"/>
          <w:sz w:val="22"/>
          <w:lang w:eastAsia="zh-CN"/>
        </w:rPr>
      </w:pPr>
      <w:r>
        <w:rPr>
          <w:rFonts w:ascii="Arial" w:hAnsi="Arial" w:cs="Verdana"/>
          <w:b/>
          <w:sz w:val="22"/>
        </w:rPr>
        <w:t>Document for:</w:t>
      </w:r>
      <w:r>
        <w:rPr>
          <w:rFonts w:ascii="Arial" w:hAnsi="Arial" w:cs="Verdana"/>
          <w:sz w:val="22"/>
        </w:rPr>
        <w:tab/>
      </w:r>
      <w:bookmarkEnd w:id="0"/>
      <w:bookmarkEnd w:id="1"/>
      <w:r>
        <w:rPr>
          <w:rFonts w:ascii="Arial" w:eastAsia="Batang" w:hAnsi="Arial" w:cs="Verdana"/>
          <w:sz w:val="22"/>
          <w:lang w:eastAsia="zh-CN"/>
        </w:rPr>
        <w:t>Discussion and decision</w:t>
      </w:r>
    </w:p>
    <w:p w:rsidR="00287137" w:rsidRDefault="009762AF">
      <w:pPr>
        <w:pStyle w:val="1"/>
        <w:jc w:val="both"/>
        <w:rPr>
          <w:rFonts w:eastAsia="Batang"/>
          <w:lang w:eastAsia="zh-CN"/>
        </w:rPr>
      </w:pPr>
      <w:r>
        <w:t>Introduction</w:t>
      </w:r>
    </w:p>
    <w:p w:rsidR="00287137" w:rsidRDefault="009762AF">
      <w:pPr>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the Rel-18 WID [1] for IoT NTN enhancements, the objective </w:t>
      </w:r>
      <w:r w:rsidR="000844C6">
        <w:rPr>
          <w:rFonts w:ascii="Times New Roman" w:hAnsi="Times New Roman"/>
          <w:lang w:val="en-US" w:eastAsia="zh-CN"/>
        </w:rPr>
        <w:t>of performance e</w:t>
      </w:r>
      <w:r w:rsidR="000844C6" w:rsidRPr="000844C6">
        <w:rPr>
          <w:rFonts w:ascii="Times New Roman" w:hAnsi="Times New Roman"/>
          <w:lang w:val="en-US" w:eastAsia="zh-CN"/>
        </w:rPr>
        <w:t>nhancements</w:t>
      </w:r>
      <w:r w:rsidR="000844C6" w:rsidRPr="000844C6" w:rsidDel="000844C6">
        <w:rPr>
          <w:rFonts w:ascii="Times New Roman" w:hAnsi="Times New Roman"/>
          <w:lang w:val="en-US" w:eastAsia="zh-CN"/>
        </w:rPr>
        <w:t xml:space="preserve"> </w:t>
      </w:r>
      <w:r>
        <w:rPr>
          <w:rFonts w:ascii="Times New Roman" w:hAnsi="Times New Roman"/>
          <w:lang w:val="en-US" w:eastAsia="zh-CN"/>
        </w:rPr>
        <w:t>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287137">
        <w:tc>
          <w:tcPr>
            <w:tcW w:w="9856" w:type="dxa"/>
          </w:tcPr>
          <w:p w:rsidR="00093079" w:rsidRPr="00093079" w:rsidRDefault="00093079" w:rsidP="00093079">
            <w:pPr>
              <w:rPr>
                <w:rFonts w:ascii="Times New Roman" w:eastAsiaTheme="minorEastAsia" w:hAnsi="Times New Roman" w:cs="Times New Roman"/>
                <w:lang w:eastAsia="zh-TW"/>
              </w:rPr>
            </w:pPr>
            <w:r w:rsidRPr="00093079">
              <w:rPr>
                <w:rFonts w:ascii="Times New Roman" w:eastAsiaTheme="minorEastAsia" w:hAnsi="Times New Roman" w:cs="Times New Roman"/>
                <w:lang w:eastAsia="zh-TW"/>
              </w:rPr>
              <w:t>4.1.1</w:t>
            </w:r>
            <w:r w:rsidRPr="00093079">
              <w:rPr>
                <w:rFonts w:ascii="Times New Roman" w:eastAsiaTheme="minorEastAsia" w:hAnsi="Times New Roman" w:cs="Times New Roman"/>
                <w:lang w:eastAsia="zh-TW"/>
              </w:rPr>
              <w:tab/>
              <w:t>IoT-NTN Performance Enhancements in Rel-18 to address remaining issues from Rel-17</w:t>
            </w:r>
          </w:p>
          <w:p w:rsidR="00093079" w:rsidRPr="00093079" w:rsidRDefault="00093079" w:rsidP="00093079">
            <w:pPr>
              <w:rPr>
                <w:rFonts w:ascii="Times New Roman" w:eastAsiaTheme="minorEastAsia" w:hAnsi="Times New Roman" w:cs="Times New Roman"/>
                <w:lang w:eastAsia="zh-TW"/>
              </w:rPr>
            </w:pPr>
            <w:r w:rsidRPr="00093079">
              <w:rPr>
                <w:rFonts w:ascii="Times New Roman" w:eastAsiaTheme="minorEastAsia" w:hAnsi="Times New Roman" w:cs="Times New Roman"/>
                <w:lang w:eastAsia="zh-TW"/>
              </w:rPr>
              <w:t>This work considers Rel-17 IoT-NTN as baseline as well as Rel-17 NR-NTN outcome and the further IoT-NTN performance enhancements objectives are listed below:</w:t>
            </w:r>
          </w:p>
          <w:p w:rsidR="00093079" w:rsidRPr="00093079" w:rsidRDefault="00093079" w:rsidP="00093079">
            <w:pPr>
              <w:ind w:left="568" w:hanging="284"/>
              <w:rPr>
                <w:rFonts w:ascii="Times New Roman" w:eastAsiaTheme="minorEastAsia" w:hAnsi="Times New Roman" w:cs="Times New Roman"/>
                <w:lang w:eastAsia="zh-TW"/>
              </w:rPr>
            </w:pPr>
            <w:r w:rsidRPr="00093079">
              <w:rPr>
                <w:rFonts w:ascii="Times New Roman" w:eastAsiaTheme="minorEastAsia" w:hAnsi="Times New Roman" w:cs="Times New Roman"/>
                <w:highlight w:val="yellow"/>
                <w:lang w:eastAsia="zh-TW"/>
              </w:rPr>
              <w:t>-</w:t>
            </w:r>
            <w:r w:rsidRPr="00093079">
              <w:rPr>
                <w:rFonts w:ascii="Times New Roman" w:eastAsiaTheme="minorEastAsia" w:hAnsi="Times New Roman" w:cs="Times New Roman"/>
                <w:highlight w:val="yellow"/>
                <w:lang w:eastAsia="zh-TW"/>
              </w:rPr>
              <w:tab/>
              <w:t>Disabling of HARQ feedback to mitigate impact of HARQ stalling on UE data rates [RAN1,RAN2]</w:t>
            </w:r>
          </w:p>
          <w:p w:rsidR="00093079" w:rsidRPr="00093079" w:rsidRDefault="00093079" w:rsidP="00093079">
            <w:pPr>
              <w:ind w:left="568" w:hanging="284"/>
              <w:rPr>
                <w:rFonts w:ascii="Times New Roman" w:eastAsiaTheme="minorEastAsia" w:hAnsi="Times New Roman" w:cs="Times New Roman"/>
                <w:lang w:eastAsia="zh-TW"/>
              </w:rPr>
            </w:pPr>
            <w:r w:rsidRPr="00093079">
              <w:rPr>
                <w:rFonts w:ascii="Times New Roman" w:eastAsiaTheme="minorEastAsia" w:hAnsi="Times New Roman" w:cs="Times New Roman"/>
                <w:lang w:eastAsia="zh-TW"/>
              </w:rPr>
              <w:t>-</w:t>
            </w:r>
            <w:r w:rsidRPr="00093079">
              <w:rPr>
                <w:rFonts w:ascii="Times New Roman" w:eastAsiaTheme="minorEastAsia" w:hAnsi="Times New Roman" w:cs="Times New Roman"/>
                <w:lang w:eastAsia="zh-TW"/>
              </w:rPr>
              <w:tab/>
              <w:t xml:space="preserve">Study and specify, if needed, improved GNSS operations for a new position fix for UE pre-compensation during long connection times and for reduced power consumption. </w:t>
            </w:r>
            <w:r w:rsidRPr="00093079">
              <w:rPr>
                <w:rFonts w:ascii="Times New Roman" w:eastAsiaTheme="minorEastAsia" w:hAnsi="Times New Roman" w:cs="Times New Roman"/>
                <w:lang w:eastAsia="zh-CN"/>
              </w:rPr>
              <w:t>Simultaneous GNSS and NTN NB-IoT/eMTC operation is not assumed</w:t>
            </w:r>
            <w:r w:rsidRPr="00093079">
              <w:rPr>
                <w:rFonts w:ascii="Times New Roman" w:eastAsiaTheme="minorEastAsia" w:hAnsi="Times New Roman" w:cs="Times New Roman"/>
                <w:sz w:val="22"/>
                <w:szCs w:val="22"/>
                <w:lang w:eastAsia="zh-CN"/>
              </w:rPr>
              <w:t>.</w:t>
            </w:r>
            <w:r w:rsidRPr="00093079">
              <w:rPr>
                <w:rFonts w:ascii="Times New Roman" w:eastAsiaTheme="minorEastAsia" w:hAnsi="Times New Roman" w:cs="Times New Roman"/>
                <w:lang w:eastAsia="zh-TW"/>
              </w:rPr>
              <w:t xml:space="preserve"> [RAN1]</w:t>
            </w:r>
          </w:p>
          <w:p w:rsidR="00287137" w:rsidRPr="00093079" w:rsidRDefault="00093079" w:rsidP="00093079">
            <w:pPr>
              <w:numPr>
                <w:ilvl w:val="0"/>
                <w:numId w:val="12"/>
              </w:numPr>
              <w:spacing w:after="120"/>
              <w:ind w:left="1077" w:hanging="357"/>
              <w:rPr>
                <w:rFonts w:ascii="Times New Roman" w:eastAsiaTheme="minorEastAsia" w:hAnsi="Times New Roman" w:cs="Times New Roman"/>
                <w:lang w:eastAsia="zh-TW"/>
              </w:rPr>
            </w:pPr>
            <w:r w:rsidRPr="00093079">
              <w:rPr>
                <w:rFonts w:ascii="Times New Roman" w:eastAsiaTheme="minorEastAsia" w:hAnsi="Times New Roman" w:cs="Times New Roman"/>
                <w:i/>
                <w:lang w:eastAsia="zh-TW"/>
              </w:rPr>
              <w:t>NOTE: The need for RAN4 Core requirements for this objective will be identified after the conclusion on the need for improvements.</w:t>
            </w:r>
          </w:p>
        </w:tc>
      </w:tr>
    </w:tbl>
    <w:p w:rsidR="00287137" w:rsidRDefault="009762AF" w:rsidP="00E80542">
      <w:pPr>
        <w:spacing w:beforeLines="50" w:before="120" w:after="120"/>
        <w:rPr>
          <w:rFonts w:ascii="Times New Roman" w:eastAsia="Batang"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this paper, we provide some </w:t>
      </w:r>
      <w:r w:rsidR="000844C6">
        <w:rPr>
          <w:rFonts w:ascii="Times New Roman" w:hAnsi="Times New Roman"/>
          <w:lang w:val="en-US" w:eastAsia="zh-CN"/>
        </w:rPr>
        <w:t xml:space="preserve">general </w:t>
      </w:r>
      <w:r>
        <w:rPr>
          <w:rFonts w:ascii="Times New Roman" w:hAnsi="Times New Roman"/>
          <w:lang w:val="en-US" w:eastAsia="zh-CN"/>
        </w:rPr>
        <w:t xml:space="preserve">considerations regarding </w:t>
      </w:r>
      <w:r w:rsidR="005D3660">
        <w:rPr>
          <w:rFonts w:ascii="Times New Roman" w:hAnsi="Times New Roman"/>
          <w:lang w:val="en-US" w:eastAsia="zh-CN"/>
        </w:rPr>
        <w:t xml:space="preserve">DL </w:t>
      </w:r>
      <w:r w:rsidR="00205DB0">
        <w:rPr>
          <w:rFonts w:ascii="Times New Roman" w:hAnsi="Times New Roman"/>
          <w:lang w:val="en-US" w:eastAsia="zh-CN"/>
        </w:rPr>
        <w:t>HARQ feedback dis</w:t>
      </w:r>
      <w:r w:rsidR="005D3660">
        <w:rPr>
          <w:rFonts w:ascii="Times New Roman" w:hAnsi="Times New Roman"/>
          <w:lang w:val="en-US" w:eastAsia="zh-CN"/>
        </w:rPr>
        <w:t>a</w:t>
      </w:r>
      <w:r w:rsidR="00205DB0">
        <w:rPr>
          <w:rFonts w:ascii="Times New Roman" w:hAnsi="Times New Roman"/>
          <w:lang w:val="en-US" w:eastAsia="zh-CN"/>
        </w:rPr>
        <w:t>bling</w:t>
      </w:r>
      <w:r>
        <w:rPr>
          <w:rFonts w:ascii="Times New Roman" w:hAnsi="Times New Roman"/>
          <w:lang w:val="en-US" w:eastAsia="zh-CN"/>
        </w:rPr>
        <w:t>.</w:t>
      </w:r>
    </w:p>
    <w:p w:rsidR="00287137" w:rsidRDefault="009762AF">
      <w:pPr>
        <w:pStyle w:val="1"/>
        <w:jc w:val="both"/>
        <w:rPr>
          <w:rFonts w:ascii="Times New Roman" w:eastAsia="Batang" w:hAnsi="Times New Roman"/>
          <w:lang w:eastAsia="zh-CN"/>
        </w:rPr>
      </w:pPr>
      <w:r>
        <w:rPr>
          <w:rFonts w:ascii="Times New Roman" w:eastAsia="Batang" w:hAnsi="Times New Roman"/>
          <w:lang w:eastAsia="zh-CN"/>
        </w:rPr>
        <w:t>Discussion</w:t>
      </w:r>
      <w:bookmarkStart w:id="3" w:name="OLE_LINK462"/>
      <w:bookmarkStart w:id="4" w:name="OLE_LINK463"/>
    </w:p>
    <w:p w:rsidR="00034963" w:rsidRDefault="00AD48C7">
      <w:pPr>
        <w:rPr>
          <w:rFonts w:ascii="Times New Roman" w:hAnsi="Times New Roman"/>
          <w:lang w:val="en-US" w:eastAsia="zh-CN"/>
        </w:rPr>
      </w:pPr>
      <w:bookmarkStart w:id="5" w:name="OLE_LINK13"/>
      <w:r>
        <w:rPr>
          <w:rFonts w:ascii="Times New Roman" w:hAnsi="Times New Roman" w:hint="eastAsia"/>
          <w:lang w:val="en-US" w:eastAsia="zh-CN"/>
        </w:rPr>
        <w:t>I</w:t>
      </w:r>
      <w:r>
        <w:rPr>
          <w:rFonts w:ascii="Times New Roman" w:hAnsi="Times New Roman"/>
          <w:lang w:val="en-US" w:eastAsia="zh-CN"/>
        </w:rPr>
        <w:t xml:space="preserve">n Rel-17 NR NTN, </w:t>
      </w:r>
      <w:r w:rsidR="00034963">
        <w:rPr>
          <w:rFonts w:ascii="Times New Roman" w:hAnsi="Times New Roman"/>
          <w:lang w:val="en-US" w:eastAsia="zh-CN"/>
        </w:rPr>
        <w:t xml:space="preserve">considering the long </w:t>
      </w:r>
      <w:r w:rsidR="00034963" w:rsidRPr="008B2350">
        <w:rPr>
          <w:rFonts w:ascii="Times New Roman" w:hAnsi="Times New Roman"/>
          <w:lang w:val="en-US" w:eastAsia="zh-CN"/>
        </w:rPr>
        <w:t>propagation delay</w:t>
      </w:r>
      <w:r w:rsidR="00034963">
        <w:rPr>
          <w:rFonts w:ascii="Times New Roman" w:hAnsi="Times New Roman"/>
          <w:lang w:val="en-US" w:eastAsia="zh-CN"/>
        </w:rPr>
        <w:t xml:space="preserve">, one HARQ process may be occupied by one transmission for a lone time which may </w:t>
      </w:r>
      <w:r w:rsidR="00034963" w:rsidRPr="00397E4A">
        <w:rPr>
          <w:rFonts w:ascii="Times New Roman" w:hAnsi="Times New Roman"/>
          <w:lang w:val="en-US" w:eastAsia="zh-CN"/>
        </w:rPr>
        <w:t>deteriorate</w:t>
      </w:r>
      <w:r w:rsidR="00034963">
        <w:rPr>
          <w:rFonts w:ascii="Times New Roman" w:hAnsi="Times New Roman"/>
          <w:lang w:val="en-US" w:eastAsia="zh-CN"/>
        </w:rPr>
        <w:t xml:space="preserve"> the data rate. To address this issue, RAN2 has agreed that HARQ feedback can be disabled by RRC signaling per HARQ process in NR NTN. </w:t>
      </w:r>
    </w:p>
    <w:p w:rsidR="00172921" w:rsidRDefault="00034963" w:rsidP="00172921">
      <w:pPr>
        <w:rPr>
          <w:rFonts w:ascii="Times New Roman" w:hAnsi="Times New Roman"/>
          <w:lang w:val="en-US" w:eastAsia="zh-CN"/>
        </w:rPr>
      </w:pPr>
      <w:r>
        <w:rPr>
          <w:rFonts w:ascii="Times New Roman" w:hAnsi="Times New Roman"/>
          <w:lang w:val="en-US" w:eastAsia="zh-CN"/>
        </w:rPr>
        <w:t>However, this was not discussed in Rel-17 IoT NTN. In Rel-18 NTN, this is included in the scope and can be discussed in RAN1 and RAN2. D</w:t>
      </w:r>
      <w:r w:rsidR="00172921">
        <w:rPr>
          <w:rFonts w:ascii="Times New Roman" w:hAnsi="Times New Roman"/>
          <w:lang w:val="en-US" w:eastAsia="zh-CN"/>
        </w:rPr>
        <w:t>uring RAN1 #109e, some options</w:t>
      </w:r>
      <w:r>
        <w:rPr>
          <w:rFonts w:ascii="Times New Roman" w:hAnsi="Times New Roman"/>
          <w:lang w:val="en-US" w:eastAsia="zh-CN"/>
        </w:rPr>
        <w:t xml:space="preserve"> of how to </w:t>
      </w:r>
      <w:r w:rsidR="00172921">
        <w:rPr>
          <w:rFonts w:ascii="Times New Roman" w:hAnsi="Times New Roman"/>
          <w:lang w:val="en-US" w:eastAsia="zh-CN"/>
        </w:rPr>
        <w:t xml:space="preserve">disable HARQ feedback for IoT NTN </w:t>
      </w:r>
      <w:r>
        <w:rPr>
          <w:rFonts w:ascii="Times New Roman" w:hAnsi="Times New Roman"/>
          <w:lang w:val="en-US" w:eastAsia="zh-CN"/>
        </w:rPr>
        <w:t>were listed for discussion as follows</w:t>
      </w:r>
      <w:r w:rsidR="00172921">
        <w:rPr>
          <w:rFonts w:ascii="Times New Roman" w:hAnsi="Times New Roma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6"/>
      </w:tblGrid>
      <w:tr w:rsidR="00172921" w:rsidTr="00F868DD">
        <w:tc>
          <w:tcPr>
            <w:tcW w:w="9856" w:type="dxa"/>
          </w:tcPr>
          <w:p w:rsidR="00172921" w:rsidRPr="009B3AF9" w:rsidRDefault="00172921" w:rsidP="00F868DD">
            <w:pPr>
              <w:spacing w:after="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For IoT NTN, to configure/indicate enabling/disabling on HARQ feedback for downlink transmission, one or more of the following options can be considered:</w:t>
            </w:r>
          </w:p>
          <w:p w:rsidR="00172921" w:rsidRPr="009B3AF9" w:rsidRDefault="00172921" w:rsidP="00172921">
            <w:pPr>
              <w:pStyle w:val="a7"/>
              <w:numPr>
                <w:ilvl w:val="0"/>
                <w:numId w:val="15"/>
              </w:numPr>
              <w:spacing w:after="0"/>
              <w:ind w:firstLineChars="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Option 1: per HARQ process via UE specific RRC signaling</w:t>
            </w:r>
          </w:p>
          <w:p w:rsidR="00172921" w:rsidRPr="009B3AF9" w:rsidRDefault="00172921" w:rsidP="00172921">
            <w:pPr>
              <w:pStyle w:val="a7"/>
              <w:numPr>
                <w:ilvl w:val="0"/>
                <w:numId w:val="15"/>
              </w:numPr>
              <w:spacing w:after="0"/>
              <w:ind w:firstLineChars="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Option 2: per HARQ process via SIB signaling</w:t>
            </w:r>
          </w:p>
          <w:p w:rsidR="00172921" w:rsidRPr="009B3AF9" w:rsidRDefault="00172921" w:rsidP="00172921">
            <w:pPr>
              <w:pStyle w:val="a7"/>
              <w:numPr>
                <w:ilvl w:val="0"/>
                <w:numId w:val="15"/>
              </w:numPr>
              <w:spacing w:after="0"/>
              <w:ind w:firstLineChars="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Option 3: explicitly indicated by DCI (e.g., new field or reusing existing field)</w:t>
            </w:r>
          </w:p>
          <w:p w:rsidR="00172921" w:rsidRPr="009B3AF9" w:rsidRDefault="00172921" w:rsidP="00172921">
            <w:pPr>
              <w:pStyle w:val="a7"/>
              <w:numPr>
                <w:ilvl w:val="0"/>
                <w:numId w:val="15"/>
              </w:numPr>
              <w:spacing w:after="0"/>
              <w:ind w:firstLineChars="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Option 4: implicitly determined by existing configured/indicated parameter(s) (e.g., repetition number, TBS)</w:t>
            </w:r>
          </w:p>
          <w:p w:rsidR="00172921" w:rsidRPr="009B3AF9" w:rsidRDefault="00172921" w:rsidP="00172921">
            <w:pPr>
              <w:pStyle w:val="a7"/>
              <w:numPr>
                <w:ilvl w:val="0"/>
                <w:numId w:val="15"/>
              </w:numPr>
              <w:spacing w:after="0"/>
              <w:ind w:firstLineChars="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Option 5: per HARQ process via MAC CE</w:t>
            </w:r>
          </w:p>
          <w:p w:rsidR="00172921" w:rsidRPr="009B3AF9" w:rsidRDefault="00172921" w:rsidP="00172921">
            <w:pPr>
              <w:pStyle w:val="a7"/>
              <w:numPr>
                <w:ilvl w:val="0"/>
                <w:numId w:val="15"/>
              </w:numPr>
              <w:spacing w:after="0"/>
              <w:ind w:firstLineChars="0"/>
              <w:rPr>
                <w:rFonts w:ascii="Times New Roman" w:eastAsiaTheme="minorEastAsia" w:hAnsi="Times New Roman" w:cs="Times New Roman"/>
                <w:lang w:eastAsia="zh-TW"/>
              </w:rPr>
            </w:pPr>
            <w:r w:rsidRPr="009B3AF9">
              <w:rPr>
                <w:rFonts w:ascii="Times New Roman" w:eastAsiaTheme="minorEastAsia" w:hAnsi="Times New Roman" w:cs="Times New Roman"/>
                <w:lang w:eastAsia="zh-TW"/>
              </w:rPr>
              <w:t>Other options or combinations are not excluded</w:t>
            </w:r>
          </w:p>
          <w:p w:rsidR="00172921" w:rsidRPr="009B3AF9" w:rsidRDefault="00172921" w:rsidP="00F868DD">
            <w:pPr>
              <w:spacing w:after="0"/>
              <w:rPr>
                <w:rFonts w:ascii="Times New Roman" w:eastAsia="PMingLiU" w:hAnsi="Times New Roman" w:cs="Times New Roman"/>
                <w:lang w:eastAsia="zh-TW"/>
              </w:rPr>
            </w:pPr>
            <w:r w:rsidRPr="009B3AF9">
              <w:rPr>
                <w:rFonts w:ascii="Times New Roman" w:eastAsiaTheme="minorEastAsia" w:hAnsi="Times New Roman" w:cs="Times New Roman"/>
                <w:lang w:eastAsia="zh-TW"/>
              </w:rPr>
              <w:t>Note: Option(s) for eMTC and NBIoT can be separately discussed.</w:t>
            </w:r>
          </w:p>
        </w:tc>
      </w:tr>
    </w:tbl>
    <w:p w:rsidR="00F77CD8" w:rsidRDefault="00F77CD8" w:rsidP="00E80542">
      <w:pPr>
        <w:spacing w:beforeLines="50" w:before="120" w:after="120"/>
        <w:rPr>
          <w:rFonts w:ascii="Times New Roman" w:hAnsi="Times New Roman"/>
          <w:lang w:val="en-US" w:eastAsia="zh-CN"/>
        </w:rPr>
      </w:pPr>
      <w:r>
        <w:rPr>
          <w:rFonts w:ascii="Times New Roman" w:hAnsi="Times New Roman"/>
          <w:lang w:val="en-US" w:eastAsia="zh-CN"/>
        </w:rPr>
        <w:t xml:space="preserve">Although this issue was first discussed in RAN1, it can also be discussed in RAN2 as the signaling discussion is very much within RAN2’s expertise. </w:t>
      </w:r>
    </w:p>
    <w:p w:rsidR="00F6146B" w:rsidRDefault="00F77CD8" w:rsidP="00E80542">
      <w:pPr>
        <w:spacing w:beforeLines="50" w:before="120"/>
        <w:rPr>
          <w:rFonts w:ascii="Times New Roman" w:hAnsi="Times New Roman"/>
          <w:lang w:val="en-US" w:eastAsia="zh-CN"/>
        </w:rPr>
      </w:pPr>
      <w:r>
        <w:rPr>
          <w:rFonts w:ascii="Times New Roman" w:hAnsi="Times New Roman"/>
          <w:lang w:val="en-US" w:eastAsia="zh-CN"/>
        </w:rPr>
        <w:t>A starting point may be whether to reuse R17 NR NTN solution, i.e. use RRC signaling to disable HARQ feedback. As far as we can see, at least for NB-IoT CP solution, using RRC signaling is not possible as reconfiguration is not supported. Then the case will be different from R17 NR NTN if we want a unified solution for both NB-IoT and eMTC.</w:t>
      </w:r>
    </w:p>
    <w:p w:rsidR="00F6146B" w:rsidRDefault="00F6146B" w:rsidP="00E80542">
      <w:pPr>
        <w:spacing w:beforeLines="50" w:before="120"/>
        <w:rPr>
          <w:rFonts w:ascii="Times New Roman" w:hAnsi="Times New Roman"/>
          <w:lang w:val="en-US" w:eastAsia="zh-CN"/>
        </w:rPr>
      </w:pPr>
      <w:r>
        <w:rPr>
          <w:rFonts w:ascii="Times New Roman" w:hAnsi="Times New Roman"/>
          <w:lang w:val="en-US" w:eastAsia="zh-CN"/>
        </w:rPr>
        <w:t>For option 5, it seems not necessary to use MAC CE for this purpose as the overhead is not high and there is no other advantage compared with DCI solution.</w:t>
      </w:r>
    </w:p>
    <w:p w:rsidR="00172921" w:rsidRDefault="00F6146B" w:rsidP="00E80542">
      <w:pPr>
        <w:spacing w:beforeLines="50" w:before="120"/>
        <w:rPr>
          <w:rFonts w:ascii="Times New Roman" w:hAnsi="Times New Roman"/>
          <w:lang w:val="en-US" w:eastAsia="zh-CN"/>
        </w:rPr>
      </w:pPr>
      <w:r>
        <w:rPr>
          <w:rFonts w:ascii="Times New Roman" w:hAnsi="Times New Roman"/>
          <w:lang w:val="en-US" w:eastAsia="zh-CN"/>
        </w:rPr>
        <w:lastRenderedPageBreak/>
        <w:t>In this case</w:t>
      </w:r>
      <w:r w:rsidR="00A61B92">
        <w:rPr>
          <w:rFonts w:ascii="Times New Roman" w:hAnsi="Times New Roman"/>
          <w:lang w:val="en-US" w:eastAsia="zh-CN"/>
        </w:rPr>
        <w:t>,</w:t>
      </w:r>
      <w:r>
        <w:rPr>
          <w:rFonts w:ascii="Times New Roman" w:hAnsi="Times New Roman"/>
          <w:lang w:val="en-US" w:eastAsia="zh-CN"/>
        </w:rPr>
        <w:t xml:space="preserve"> the options can be down selected to SIB solution and DCI solution. The choosing between these two solutions depends on what is the granularity required for HARQ feedback controlling in IoT NTN. If the HARQ feedback is controlled per UE or per HARQ process, DCI should be used. If the HARQ feedback is controlled per service or per UE group, </w:t>
      </w:r>
      <w:r w:rsidR="00A61B92">
        <w:rPr>
          <w:rFonts w:ascii="Times New Roman" w:hAnsi="Times New Roman"/>
          <w:lang w:val="en-US" w:eastAsia="zh-CN"/>
        </w:rPr>
        <w:t>SIB</w:t>
      </w:r>
      <w:r>
        <w:rPr>
          <w:rFonts w:ascii="Times New Roman" w:hAnsi="Times New Roman"/>
          <w:lang w:val="en-US" w:eastAsia="zh-CN"/>
        </w:rPr>
        <w:t xml:space="preserve"> </w:t>
      </w:r>
      <w:r w:rsidR="00A61B92">
        <w:rPr>
          <w:rFonts w:ascii="Times New Roman" w:hAnsi="Times New Roman"/>
          <w:lang w:val="en-US" w:eastAsia="zh-CN"/>
        </w:rPr>
        <w:t>may be more suitable</w:t>
      </w:r>
      <w:r>
        <w:rPr>
          <w:rFonts w:ascii="Times New Roman" w:hAnsi="Times New Roman"/>
          <w:lang w:val="en-US" w:eastAsia="zh-CN"/>
        </w:rPr>
        <w:t>.</w:t>
      </w:r>
      <w:r w:rsidR="00F77CD8">
        <w:rPr>
          <w:rFonts w:ascii="Times New Roman" w:hAnsi="Times New Roman"/>
          <w:lang w:val="en-US" w:eastAsia="zh-CN"/>
        </w:rPr>
        <w:t xml:space="preserve"> </w:t>
      </w:r>
      <w:r w:rsidR="00A61B92">
        <w:rPr>
          <w:rFonts w:ascii="Times New Roman" w:hAnsi="Times New Roman"/>
          <w:lang w:val="en-US" w:eastAsia="zh-CN"/>
        </w:rPr>
        <w:t>And if DCI is chosen, the technique details should be up to RAN1.</w:t>
      </w:r>
    </w:p>
    <w:p w:rsidR="00287137" w:rsidRDefault="006F7850" w:rsidP="00DF3DF8">
      <w:pPr>
        <w:numPr>
          <w:ilvl w:val="0"/>
          <w:numId w:val="8"/>
        </w:numPr>
        <w:spacing w:after="120"/>
        <w:jc w:val="both"/>
        <w:rPr>
          <w:rFonts w:ascii="Times New Roman" w:eastAsia="宋体" w:hAnsi="Times New Roman"/>
          <w:b/>
          <w:sz w:val="21"/>
          <w:szCs w:val="21"/>
          <w:lang w:eastAsia="zh-CN"/>
        </w:rPr>
      </w:pPr>
      <w:r>
        <w:rPr>
          <w:rFonts w:ascii="Times New Roman" w:eastAsia="宋体" w:hAnsi="Times New Roman"/>
          <w:b/>
          <w:sz w:val="21"/>
          <w:szCs w:val="21"/>
          <w:lang w:eastAsia="zh-CN"/>
        </w:rPr>
        <w:t xml:space="preserve">RAN2 </w:t>
      </w:r>
      <w:r w:rsidR="00A61B92">
        <w:rPr>
          <w:rFonts w:ascii="Times New Roman" w:eastAsia="宋体" w:hAnsi="Times New Roman"/>
          <w:b/>
          <w:sz w:val="21"/>
          <w:szCs w:val="21"/>
          <w:lang w:eastAsia="zh-CN"/>
        </w:rPr>
        <w:t>to down select the solutions of disabling HARQ feedback to the SIB solution and the DCI solution</w:t>
      </w:r>
      <w:r w:rsidR="009762AF">
        <w:rPr>
          <w:rFonts w:ascii="Times New Roman" w:eastAsia="宋体" w:hAnsi="Times New Roman"/>
          <w:b/>
          <w:sz w:val="21"/>
          <w:szCs w:val="21"/>
          <w:lang w:eastAsia="zh-CN"/>
        </w:rPr>
        <w:t>.</w:t>
      </w:r>
    </w:p>
    <w:p w:rsidR="00A61B92" w:rsidRDefault="00A61B92" w:rsidP="00A61B92">
      <w:pPr>
        <w:numPr>
          <w:ilvl w:val="0"/>
          <w:numId w:val="8"/>
        </w:numPr>
        <w:spacing w:after="120"/>
        <w:jc w:val="both"/>
        <w:rPr>
          <w:rFonts w:ascii="Times New Roman" w:eastAsia="宋体" w:hAnsi="Times New Roman"/>
          <w:b/>
          <w:sz w:val="21"/>
          <w:szCs w:val="21"/>
          <w:lang w:eastAsia="zh-CN"/>
        </w:rPr>
      </w:pPr>
      <w:r>
        <w:rPr>
          <w:rFonts w:ascii="Times New Roman" w:eastAsia="宋体" w:hAnsi="Times New Roman"/>
          <w:b/>
          <w:sz w:val="21"/>
          <w:szCs w:val="21"/>
          <w:lang w:eastAsia="zh-CN"/>
        </w:rPr>
        <w:t xml:space="preserve">RAN2 to further discuss the </w:t>
      </w:r>
      <w:r w:rsidRPr="00A61B92">
        <w:rPr>
          <w:rFonts w:ascii="Times New Roman" w:eastAsia="宋体" w:hAnsi="Times New Roman"/>
          <w:b/>
          <w:sz w:val="21"/>
          <w:szCs w:val="21"/>
          <w:lang w:eastAsia="zh-CN"/>
        </w:rPr>
        <w:t>granularity required for HARQ feedback controlling in IoT NTN</w:t>
      </w:r>
      <w:r>
        <w:rPr>
          <w:rFonts w:ascii="Times New Roman" w:eastAsia="宋体" w:hAnsi="Times New Roman"/>
          <w:b/>
          <w:sz w:val="21"/>
          <w:szCs w:val="21"/>
          <w:lang w:eastAsia="zh-CN"/>
        </w:rPr>
        <w:t xml:space="preserve"> before deciding which solution to be adopted.</w:t>
      </w:r>
    </w:p>
    <w:p w:rsidR="00A61B92" w:rsidRDefault="00A61B92" w:rsidP="00A61B92">
      <w:pPr>
        <w:numPr>
          <w:ilvl w:val="0"/>
          <w:numId w:val="8"/>
        </w:numPr>
        <w:spacing w:after="120"/>
        <w:jc w:val="both"/>
        <w:rPr>
          <w:rFonts w:ascii="Times New Roman" w:eastAsia="宋体" w:hAnsi="Times New Roman"/>
          <w:b/>
          <w:sz w:val="21"/>
          <w:szCs w:val="21"/>
          <w:lang w:eastAsia="zh-CN"/>
        </w:rPr>
      </w:pPr>
      <w:r>
        <w:rPr>
          <w:rFonts w:ascii="Times New Roman" w:eastAsia="宋体" w:hAnsi="Times New Roman"/>
          <w:b/>
          <w:sz w:val="21"/>
          <w:szCs w:val="21"/>
          <w:lang w:eastAsia="zh-CN"/>
        </w:rPr>
        <w:t>An LS should be sent to RAN1 to inform RAN2 conclusion if any.</w:t>
      </w:r>
    </w:p>
    <w:bookmarkEnd w:id="3"/>
    <w:bookmarkEnd w:id="4"/>
    <w:bookmarkEnd w:id="5"/>
    <w:p w:rsidR="00287137" w:rsidRDefault="009762AF">
      <w:pPr>
        <w:pStyle w:val="1"/>
        <w:jc w:val="both"/>
        <w:rPr>
          <w:rFonts w:ascii="Times New Roman" w:eastAsia="Batang" w:hAnsi="Times New Roman"/>
          <w:sz w:val="32"/>
          <w:lang w:eastAsia="zh-CN"/>
        </w:rPr>
      </w:pPr>
      <w:r>
        <w:rPr>
          <w:rFonts w:ascii="Times New Roman" w:eastAsia="Batang" w:hAnsi="Times New Roman"/>
          <w:sz w:val="32"/>
          <w:lang w:eastAsia="zh-CN"/>
        </w:rPr>
        <w:t>Conclusion</w:t>
      </w:r>
    </w:p>
    <w:p w:rsidR="00287137" w:rsidRDefault="009762AF">
      <w:pPr>
        <w:jc w:val="both"/>
        <w:rPr>
          <w:rFonts w:ascii="Times New Roman" w:eastAsia="Batang" w:hAnsi="Times New Roman"/>
          <w:kern w:val="2"/>
        </w:rPr>
      </w:pPr>
      <w:bookmarkStart w:id="6" w:name="OLE_LINK3"/>
      <w:r>
        <w:rPr>
          <w:rFonts w:ascii="Times New Roman" w:eastAsia="Batang" w:hAnsi="Times New Roman"/>
          <w:kern w:val="2"/>
        </w:rPr>
        <w:t xml:space="preserve">In this contribution, we discussed the </w:t>
      </w:r>
      <w:r w:rsidR="00A61B92">
        <w:rPr>
          <w:rFonts w:ascii="Times New Roman" w:hAnsi="Times New Roman"/>
          <w:lang w:val="en-US" w:eastAsia="zh-CN"/>
        </w:rPr>
        <w:t>performance e</w:t>
      </w:r>
      <w:r w:rsidR="00A61B92" w:rsidRPr="000844C6">
        <w:rPr>
          <w:rFonts w:ascii="Times New Roman" w:hAnsi="Times New Roman"/>
          <w:lang w:val="en-US" w:eastAsia="zh-CN"/>
        </w:rPr>
        <w:t>nhancements</w:t>
      </w:r>
      <w:r>
        <w:rPr>
          <w:rFonts w:ascii="Times New Roman" w:eastAsia="Batang" w:hAnsi="Times New Roman"/>
          <w:kern w:val="2"/>
        </w:rPr>
        <w:t xml:space="preserve"> in IoT NTN and have the following proposals:</w:t>
      </w:r>
    </w:p>
    <w:p w:rsidR="00A61B92" w:rsidRDefault="00A61B92" w:rsidP="00E80542">
      <w:pPr>
        <w:numPr>
          <w:ilvl w:val="0"/>
          <w:numId w:val="16"/>
        </w:numPr>
        <w:spacing w:after="120"/>
        <w:jc w:val="both"/>
        <w:rPr>
          <w:rFonts w:ascii="Times New Roman" w:eastAsia="宋体" w:hAnsi="Times New Roman"/>
          <w:b/>
          <w:sz w:val="21"/>
          <w:szCs w:val="21"/>
          <w:lang w:eastAsia="zh-CN"/>
        </w:rPr>
      </w:pPr>
      <w:r>
        <w:rPr>
          <w:rFonts w:ascii="Times New Roman" w:eastAsia="宋体" w:hAnsi="Times New Roman"/>
          <w:b/>
          <w:sz w:val="21"/>
          <w:szCs w:val="21"/>
          <w:lang w:eastAsia="zh-CN"/>
        </w:rPr>
        <w:t>RAN2 to down select the solutions of disabling HARQ feedback to the SIB solution and the DCI solution.</w:t>
      </w:r>
    </w:p>
    <w:p w:rsidR="00A61B92" w:rsidRDefault="00A61B92" w:rsidP="00E80542">
      <w:pPr>
        <w:numPr>
          <w:ilvl w:val="0"/>
          <w:numId w:val="16"/>
        </w:numPr>
        <w:spacing w:after="120"/>
        <w:jc w:val="both"/>
        <w:rPr>
          <w:rFonts w:ascii="Times New Roman" w:eastAsia="宋体" w:hAnsi="Times New Roman"/>
          <w:b/>
          <w:sz w:val="21"/>
          <w:szCs w:val="21"/>
          <w:lang w:eastAsia="zh-CN"/>
        </w:rPr>
      </w:pPr>
      <w:r>
        <w:rPr>
          <w:rFonts w:ascii="Times New Roman" w:eastAsia="宋体" w:hAnsi="Times New Roman"/>
          <w:b/>
          <w:sz w:val="21"/>
          <w:szCs w:val="21"/>
          <w:lang w:eastAsia="zh-CN"/>
        </w:rPr>
        <w:t xml:space="preserve">RAN2 to further discuss the </w:t>
      </w:r>
      <w:r w:rsidRPr="00A61B92">
        <w:rPr>
          <w:rFonts w:ascii="Times New Roman" w:eastAsia="宋体" w:hAnsi="Times New Roman"/>
          <w:b/>
          <w:sz w:val="21"/>
          <w:szCs w:val="21"/>
          <w:lang w:eastAsia="zh-CN"/>
        </w:rPr>
        <w:t>granularity required for HARQ feedback controlling in IoT NTN</w:t>
      </w:r>
      <w:r>
        <w:rPr>
          <w:rFonts w:ascii="Times New Roman" w:eastAsia="宋体" w:hAnsi="Times New Roman"/>
          <w:b/>
          <w:sz w:val="21"/>
          <w:szCs w:val="21"/>
          <w:lang w:eastAsia="zh-CN"/>
        </w:rPr>
        <w:t xml:space="preserve"> before deciding which solution to be adopted.</w:t>
      </w:r>
    </w:p>
    <w:p w:rsidR="00A61B92" w:rsidRDefault="00A61B92" w:rsidP="00E80542">
      <w:pPr>
        <w:numPr>
          <w:ilvl w:val="0"/>
          <w:numId w:val="16"/>
        </w:numPr>
        <w:spacing w:after="120"/>
        <w:jc w:val="both"/>
        <w:rPr>
          <w:rFonts w:ascii="Times New Roman" w:eastAsia="宋体" w:hAnsi="Times New Roman"/>
          <w:b/>
          <w:sz w:val="21"/>
          <w:szCs w:val="21"/>
          <w:lang w:eastAsia="zh-CN"/>
        </w:rPr>
      </w:pPr>
      <w:r>
        <w:rPr>
          <w:rFonts w:ascii="Times New Roman" w:eastAsia="宋体" w:hAnsi="Times New Roman"/>
          <w:b/>
          <w:sz w:val="21"/>
          <w:szCs w:val="21"/>
          <w:lang w:eastAsia="zh-CN"/>
        </w:rPr>
        <w:t>An LS should be sent to RAN1 to inform RAN2 conclusion if any.</w:t>
      </w:r>
    </w:p>
    <w:p w:rsidR="00287137" w:rsidRDefault="00287137">
      <w:pPr>
        <w:jc w:val="both"/>
        <w:rPr>
          <w:rFonts w:ascii="Times New Roman" w:eastAsia="Tahoma" w:hAnsi="Times New Roman"/>
          <w:kern w:val="2"/>
          <w:szCs w:val="22"/>
        </w:rPr>
      </w:pPr>
    </w:p>
    <w:bookmarkEnd w:id="6"/>
    <w:p w:rsidR="00287137" w:rsidRPr="00087749" w:rsidRDefault="009762AF" w:rsidP="00087749">
      <w:pPr>
        <w:pStyle w:val="1"/>
        <w:rPr>
          <w:rFonts w:ascii="Times New Roman" w:hAnsi="Times New Roman"/>
          <w:lang w:val="en-US" w:eastAsia="zh-CN"/>
        </w:rPr>
      </w:pPr>
      <w:r>
        <w:rPr>
          <w:rFonts w:ascii="Times New Roman" w:hAnsi="Times New Roman"/>
          <w:lang w:val="en-US"/>
        </w:rPr>
        <w:t>Reference</w:t>
      </w:r>
    </w:p>
    <w:p w:rsidR="00087749" w:rsidRDefault="00087749">
      <w:pPr>
        <w:pStyle w:val="References"/>
        <w:numPr>
          <w:ilvl w:val="0"/>
          <w:numId w:val="10"/>
        </w:numPr>
        <w:tabs>
          <w:tab w:val="left" w:pos="360"/>
        </w:tabs>
        <w:rPr>
          <w:szCs w:val="20"/>
        </w:rPr>
      </w:pPr>
      <w:r w:rsidRPr="00087749">
        <w:rPr>
          <w:rFonts w:eastAsia="–¾’©"/>
        </w:rPr>
        <w:t xml:space="preserve">RP-221806, </w:t>
      </w:r>
      <w:r w:rsidRPr="00087749">
        <w:rPr>
          <w:rFonts w:cs="Osaka"/>
          <w:iCs/>
        </w:rPr>
        <w:t>WID on IoT NTN enhancements</w:t>
      </w:r>
      <w:r>
        <w:rPr>
          <w:szCs w:val="20"/>
        </w:rPr>
        <w:t xml:space="preserve"> </w:t>
      </w:r>
    </w:p>
    <w:p w:rsidR="009762AF" w:rsidRDefault="009762AF">
      <w:pPr>
        <w:spacing w:after="120"/>
        <w:jc w:val="both"/>
        <w:textAlignment w:val="auto"/>
        <w:rPr>
          <w:rFonts w:ascii="Times New Roman" w:eastAsia="–¾’©" w:hAnsi="Times New Roman"/>
          <w:lang w:val="en-US"/>
        </w:rPr>
      </w:pPr>
    </w:p>
    <w:sectPr w:rsidR="009762AF">
      <w:footnotePr>
        <w:numRestart w:val="eachSect"/>
      </w:footnotePr>
      <w:pgSz w:w="11907" w:h="16840"/>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8DB" w:rsidRDefault="000F38DB" w:rsidP="00494F85">
      <w:pPr>
        <w:spacing w:after="0"/>
      </w:pPr>
      <w:r>
        <w:separator/>
      </w:r>
    </w:p>
  </w:endnote>
  <w:endnote w:type="continuationSeparator" w:id="0">
    <w:p w:rsidR="000F38DB" w:rsidRDefault="000F38DB" w:rsidP="00494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0000000000000000000"/>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8DB" w:rsidRDefault="000F38DB" w:rsidP="00494F85">
      <w:pPr>
        <w:spacing w:after="0"/>
      </w:pPr>
      <w:r>
        <w:separator/>
      </w:r>
    </w:p>
  </w:footnote>
  <w:footnote w:type="continuationSeparator" w:id="0">
    <w:p w:rsidR="000F38DB" w:rsidRDefault="000F38DB" w:rsidP="00494F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0D36757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31E28BD"/>
    <w:multiLevelType w:val="multilevel"/>
    <w:tmpl w:val="131E28B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55C1DD3"/>
    <w:multiLevelType w:val="hybridMultilevel"/>
    <w:tmpl w:val="E18A05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B37CF"/>
    <w:multiLevelType w:val="multilevel"/>
    <w:tmpl w:val="1F9B37CF"/>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C3701CE"/>
    <w:multiLevelType w:val="multilevel"/>
    <w:tmpl w:val="02552047"/>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E0C48AD"/>
    <w:multiLevelType w:val="multilevel"/>
    <w:tmpl w:val="2E0C48A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Wingdings" w:hAnsi="Wingdings"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Wingdings" w:hAnsi="Wingdings"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Wingdings" w:hAnsi="Wingdings"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Wingdings" w:hAnsi="Wingdings"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B039F2"/>
    <w:multiLevelType w:val="hybridMultilevel"/>
    <w:tmpl w:val="6D98C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1C769F8"/>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1CE455C"/>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¾’©" w:hAnsi="–¾’©" w:hint="default"/>
        <w:b/>
        <w:i w:val="0"/>
        <w:color w:val="70CEF5"/>
        <w:sz w:val="20"/>
        <w:szCs w:val="20"/>
      </w:rPr>
    </w:lvl>
    <w:lvl w:ilvl="1">
      <w:start w:val="1"/>
      <w:numFmt w:val="bullet"/>
      <w:lvlText w:val="o"/>
      <w:lvlJc w:val="left"/>
      <w:pPr>
        <w:tabs>
          <w:tab w:val="num" w:pos="1440"/>
        </w:tabs>
        <w:ind w:left="1440" w:hanging="360"/>
      </w:pPr>
      <w:rPr>
        <w:rFonts w:ascii="Cambria Math" w:hAnsi="Cambria Math" w:cs="Cambria Math" w:hint="default"/>
      </w:rPr>
    </w:lvl>
    <w:lvl w:ilvl="2">
      <w:start w:val="1"/>
      <w:numFmt w:val="bullet"/>
      <w:lvlText w:val=""/>
      <w:lvlJc w:val="left"/>
      <w:pPr>
        <w:tabs>
          <w:tab w:val="num" w:pos="2160"/>
        </w:tabs>
        <w:ind w:left="2160" w:hanging="360"/>
      </w:pPr>
      <w:rPr>
        <w:rFonts w:ascii="Batang" w:hAnsi="Batang" w:hint="default"/>
      </w:rPr>
    </w:lvl>
    <w:lvl w:ilvl="3">
      <w:start w:val="1"/>
      <w:numFmt w:val="bullet"/>
      <w:lvlText w:val=""/>
      <w:lvlJc w:val="left"/>
      <w:pPr>
        <w:tabs>
          <w:tab w:val="num" w:pos="2880"/>
        </w:tabs>
        <w:ind w:left="2880" w:hanging="360"/>
      </w:pPr>
      <w:rPr>
        <w:rFonts w:ascii="Courier New" w:hAnsi="Courier New" w:hint="default"/>
      </w:rPr>
    </w:lvl>
    <w:lvl w:ilvl="4">
      <w:start w:val="1"/>
      <w:numFmt w:val="bullet"/>
      <w:lvlText w:val="o"/>
      <w:lvlJc w:val="left"/>
      <w:pPr>
        <w:tabs>
          <w:tab w:val="num" w:pos="3600"/>
        </w:tabs>
        <w:ind w:left="3600" w:hanging="360"/>
      </w:pPr>
      <w:rPr>
        <w:rFonts w:ascii="Cambria Math" w:hAnsi="Cambria Math" w:cs="Cambria Math" w:hint="default"/>
      </w:rPr>
    </w:lvl>
    <w:lvl w:ilvl="5">
      <w:start w:val="1"/>
      <w:numFmt w:val="bullet"/>
      <w:lvlText w:val=""/>
      <w:lvlJc w:val="left"/>
      <w:pPr>
        <w:tabs>
          <w:tab w:val="num" w:pos="4320"/>
        </w:tabs>
        <w:ind w:left="4320" w:hanging="360"/>
      </w:pPr>
      <w:rPr>
        <w:rFonts w:ascii="Batang" w:hAnsi="Batang" w:hint="default"/>
      </w:rPr>
    </w:lvl>
    <w:lvl w:ilvl="6">
      <w:start w:val="1"/>
      <w:numFmt w:val="bullet"/>
      <w:lvlText w:val=""/>
      <w:lvlJc w:val="left"/>
      <w:pPr>
        <w:tabs>
          <w:tab w:val="num" w:pos="5040"/>
        </w:tabs>
        <w:ind w:left="5040" w:hanging="360"/>
      </w:pPr>
      <w:rPr>
        <w:rFonts w:ascii="Courier New" w:hAnsi="Courier New" w:hint="default"/>
      </w:rPr>
    </w:lvl>
    <w:lvl w:ilvl="7">
      <w:start w:val="1"/>
      <w:numFmt w:val="bullet"/>
      <w:lvlText w:val="o"/>
      <w:lvlJc w:val="left"/>
      <w:pPr>
        <w:tabs>
          <w:tab w:val="num" w:pos="5760"/>
        </w:tabs>
        <w:ind w:left="5760" w:hanging="360"/>
      </w:pPr>
      <w:rPr>
        <w:rFonts w:ascii="Cambria Math" w:hAnsi="Cambria Math" w:cs="Cambria Math" w:hint="default"/>
      </w:rPr>
    </w:lvl>
    <w:lvl w:ilvl="8">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15"/>
  </w:num>
  <w:num w:numId="3">
    <w:abstractNumId w:val="10"/>
  </w:num>
  <w:num w:numId="4">
    <w:abstractNumId w:val="8"/>
  </w:num>
  <w:num w:numId="5">
    <w:abstractNumId w:val="9"/>
  </w:num>
  <w:num w:numId="6">
    <w:abstractNumId w:val="0"/>
  </w:num>
  <w:num w:numId="7">
    <w:abstractNumId w:val="7"/>
  </w:num>
  <w:num w:numId="8">
    <w:abstractNumId w:val="14"/>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1"/>
  </w:num>
  <w:num w:numId="14">
    <w:abstractNumId w:val="4"/>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97EF5335"/>
    <w:rsid w:val="B95ECB27"/>
    <w:rsid w:val="00001297"/>
    <w:rsid w:val="0000158E"/>
    <w:rsid w:val="00003E70"/>
    <w:rsid w:val="000058EA"/>
    <w:rsid w:val="000058F2"/>
    <w:rsid w:val="000076D6"/>
    <w:rsid w:val="00011D54"/>
    <w:rsid w:val="00011FED"/>
    <w:rsid w:val="00013354"/>
    <w:rsid w:val="00013E65"/>
    <w:rsid w:val="00014336"/>
    <w:rsid w:val="00017DD9"/>
    <w:rsid w:val="0002336D"/>
    <w:rsid w:val="000255F0"/>
    <w:rsid w:val="00025D8F"/>
    <w:rsid w:val="00025D98"/>
    <w:rsid w:val="000278DD"/>
    <w:rsid w:val="00030F80"/>
    <w:rsid w:val="000319BC"/>
    <w:rsid w:val="00031D13"/>
    <w:rsid w:val="0003366D"/>
    <w:rsid w:val="00033CA7"/>
    <w:rsid w:val="000341D8"/>
    <w:rsid w:val="00034648"/>
    <w:rsid w:val="00034963"/>
    <w:rsid w:val="000366D3"/>
    <w:rsid w:val="000374CB"/>
    <w:rsid w:val="00040007"/>
    <w:rsid w:val="00042D4C"/>
    <w:rsid w:val="000464AB"/>
    <w:rsid w:val="000503A9"/>
    <w:rsid w:val="00050DD1"/>
    <w:rsid w:val="0005277E"/>
    <w:rsid w:val="00053059"/>
    <w:rsid w:val="000543B5"/>
    <w:rsid w:val="00054695"/>
    <w:rsid w:val="000575B7"/>
    <w:rsid w:val="00060DC6"/>
    <w:rsid w:val="00061747"/>
    <w:rsid w:val="000632D5"/>
    <w:rsid w:val="00063AE0"/>
    <w:rsid w:val="00064DBA"/>
    <w:rsid w:val="000651C2"/>
    <w:rsid w:val="00066745"/>
    <w:rsid w:val="00066AD1"/>
    <w:rsid w:val="00067776"/>
    <w:rsid w:val="00071747"/>
    <w:rsid w:val="000746D3"/>
    <w:rsid w:val="00074BC6"/>
    <w:rsid w:val="00077E89"/>
    <w:rsid w:val="000806F1"/>
    <w:rsid w:val="000810CE"/>
    <w:rsid w:val="00081EAF"/>
    <w:rsid w:val="000844C6"/>
    <w:rsid w:val="00087392"/>
    <w:rsid w:val="00087749"/>
    <w:rsid w:val="00087C27"/>
    <w:rsid w:val="000911F8"/>
    <w:rsid w:val="000917D8"/>
    <w:rsid w:val="00093079"/>
    <w:rsid w:val="000931AF"/>
    <w:rsid w:val="000957BB"/>
    <w:rsid w:val="00097C1E"/>
    <w:rsid w:val="000A3BE0"/>
    <w:rsid w:val="000A54C7"/>
    <w:rsid w:val="000A56BF"/>
    <w:rsid w:val="000A6581"/>
    <w:rsid w:val="000A75FD"/>
    <w:rsid w:val="000B3F26"/>
    <w:rsid w:val="000B7BF2"/>
    <w:rsid w:val="000C040E"/>
    <w:rsid w:val="000C0AE2"/>
    <w:rsid w:val="000C256C"/>
    <w:rsid w:val="000C30A7"/>
    <w:rsid w:val="000C4F17"/>
    <w:rsid w:val="000C5DAB"/>
    <w:rsid w:val="000C7EAB"/>
    <w:rsid w:val="000D2460"/>
    <w:rsid w:val="000D2B2E"/>
    <w:rsid w:val="000D3606"/>
    <w:rsid w:val="000D3E63"/>
    <w:rsid w:val="000D3F5B"/>
    <w:rsid w:val="000D51C7"/>
    <w:rsid w:val="000D56F8"/>
    <w:rsid w:val="000D6ABE"/>
    <w:rsid w:val="000D7A23"/>
    <w:rsid w:val="000E03DC"/>
    <w:rsid w:val="000E0664"/>
    <w:rsid w:val="000E1243"/>
    <w:rsid w:val="000E613C"/>
    <w:rsid w:val="000F13F2"/>
    <w:rsid w:val="000F38DB"/>
    <w:rsid w:val="000F42F1"/>
    <w:rsid w:val="000F6A73"/>
    <w:rsid w:val="000F77F8"/>
    <w:rsid w:val="00101650"/>
    <w:rsid w:val="001028D7"/>
    <w:rsid w:val="001048B2"/>
    <w:rsid w:val="00105EB3"/>
    <w:rsid w:val="0010609F"/>
    <w:rsid w:val="001102B3"/>
    <w:rsid w:val="00110304"/>
    <w:rsid w:val="00110A9A"/>
    <w:rsid w:val="00111EE6"/>
    <w:rsid w:val="001136D6"/>
    <w:rsid w:val="001150B4"/>
    <w:rsid w:val="0011526F"/>
    <w:rsid w:val="00115B07"/>
    <w:rsid w:val="00121A55"/>
    <w:rsid w:val="00123025"/>
    <w:rsid w:val="00130A23"/>
    <w:rsid w:val="00131941"/>
    <w:rsid w:val="00132807"/>
    <w:rsid w:val="00135387"/>
    <w:rsid w:val="00137BAA"/>
    <w:rsid w:val="001415AF"/>
    <w:rsid w:val="00141E3E"/>
    <w:rsid w:val="00146F3A"/>
    <w:rsid w:val="00147A7B"/>
    <w:rsid w:val="001500C4"/>
    <w:rsid w:val="00150B16"/>
    <w:rsid w:val="00151269"/>
    <w:rsid w:val="00154601"/>
    <w:rsid w:val="001553D4"/>
    <w:rsid w:val="00156110"/>
    <w:rsid w:val="00166107"/>
    <w:rsid w:val="00171A19"/>
    <w:rsid w:val="0017203E"/>
    <w:rsid w:val="00172388"/>
    <w:rsid w:val="00172921"/>
    <w:rsid w:val="00176532"/>
    <w:rsid w:val="001818BC"/>
    <w:rsid w:val="00182048"/>
    <w:rsid w:val="0018337A"/>
    <w:rsid w:val="00183A37"/>
    <w:rsid w:val="00190269"/>
    <w:rsid w:val="001904B1"/>
    <w:rsid w:val="00195765"/>
    <w:rsid w:val="001970E6"/>
    <w:rsid w:val="001A1E2B"/>
    <w:rsid w:val="001A2278"/>
    <w:rsid w:val="001A391E"/>
    <w:rsid w:val="001A67C6"/>
    <w:rsid w:val="001B39FD"/>
    <w:rsid w:val="001B534C"/>
    <w:rsid w:val="001B5A2D"/>
    <w:rsid w:val="001B7103"/>
    <w:rsid w:val="001B7C44"/>
    <w:rsid w:val="001B7DD8"/>
    <w:rsid w:val="001C05C8"/>
    <w:rsid w:val="001C46C5"/>
    <w:rsid w:val="001D3B00"/>
    <w:rsid w:val="001E2320"/>
    <w:rsid w:val="001E692A"/>
    <w:rsid w:val="001E7493"/>
    <w:rsid w:val="001F2E0C"/>
    <w:rsid w:val="001F7C44"/>
    <w:rsid w:val="00200C01"/>
    <w:rsid w:val="00201446"/>
    <w:rsid w:val="00203302"/>
    <w:rsid w:val="00205824"/>
    <w:rsid w:val="00205885"/>
    <w:rsid w:val="00205DB0"/>
    <w:rsid w:val="00206269"/>
    <w:rsid w:val="00207104"/>
    <w:rsid w:val="00207A83"/>
    <w:rsid w:val="00210276"/>
    <w:rsid w:val="002107CB"/>
    <w:rsid w:val="00211146"/>
    <w:rsid w:val="00215B85"/>
    <w:rsid w:val="0021627D"/>
    <w:rsid w:val="002257E4"/>
    <w:rsid w:val="00225C98"/>
    <w:rsid w:val="002316A0"/>
    <w:rsid w:val="00232A93"/>
    <w:rsid w:val="002365E3"/>
    <w:rsid w:val="002424F4"/>
    <w:rsid w:val="002424FC"/>
    <w:rsid w:val="002426A9"/>
    <w:rsid w:val="00243FC3"/>
    <w:rsid w:val="0025003A"/>
    <w:rsid w:val="002515B1"/>
    <w:rsid w:val="00252057"/>
    <w:rsid w:val="002561FB"/>
    <w:rsid w:val="0026046C"/>
    <w:rsid w:val="00263F5E"/>
    <w:rsid w:val="00265894"/>
    <w:rsid w:val="0027136D"/>
    <w:rsid w:val="00272514"/>
    <w:rsid w:val="0027288D"/>
    <w:rsid w:val="002732B4"/>
    <w:rsid w:val="002774EB"/>
    <w:rsid w:val="00280DF9"/>
    <w:rsid w:val="00282A8F"/>
    <w:rsid w:val="00284E1C"/>
    <w:rsid w:val="002850D6"/>
    <w:rsid w:val="002854FB"/>
    <w:rsid w:val="00285EBA"/>
    <w:rsid w:val="00287137"/>
    <w:rsid w:val="00291E57"/>
    <w:rsid w:val="002934EB"/>
    <w:rsid w:val="00293A86"/>
    <w:rsid w:val="002962D1"/>
    <w:rsid w:val="0029783B"/>
    <w:rsid w:val="002A2D02"/>
    <w:rsid w:val="002A37EF"/>
    <w:rsid w:val="002A44F2"/>
    <w:rsid w:val="002A5CB1"/>
    <w:rsid w:val="002A6806"/>
    <w:rsid w:val="002A764E"/>
    <w:rsid w:val="002B0D2C"/>
    <w:rsid w:val="002B31DF"/>
    <w:rsid w:val="002B5739"/>
    <w:rsid w:val="002B6886"/>
    <w:rsid w:val="002C147D"/>
    <w:rsid w:val="002C2067"/>
    <w:rsid w:val="002C22FE"/>
    <w:rsid w:val="002C28D8"/>
    <w:rsid w:val="002C2991"/>
    <w:rsid w:val="002C6610"/>
    <w:rsid w:val="002D04AE"/>
    <w:rsid w:val="002D1330"/>
    <w:rsid w:val="002D2501"/>
    <w:rsid w:val="002D7B34"/>
    <w:rsid w:val="002E4A26"/>
    <w:rsid w:val="002E4A90"/>
    <w:rsid w:val="002E5290"/>
    <w:rsid w:val="002E54DC"/>
    <w:rsid w:val="002F06AA"/>
    <w:rsid w:val="002F24A9"/>
    <w:rsid w:val="002F377D"/>
    <w:rsid w:val="002F6B64"/>
    <w:rsid w:val="00305A1D"/>
    <w:rsid w:val="0030780A"/>
    <w:rsid w:val="00310BE2"/>
    <w:rsid w:val="0031277B"/>
    <w:rsid w:val="00313A41"/>
    <w:rsid w:val="00317EB0"/>
    <w:rsid w:val="003201F4"/>
    <w:rsid w:val="00321051"/>
    <w:rsid w:val="00322E83"/>
    <w:rsid w:val="003230E5"/>
    <w:rsid w:val="0032324B"/>
    <w:rsid w:val="00323811"/>
    <w:rsid w:val="003249A4"/>
    <w:rsid w:val="003256AF"/>
    <w:rsid w:val="00325D60"/>
    <w:rsid w:val="0033505B"/>
    <w:rsid w:val="00337C02"/>
    <w:rsid w:val="00341A46"/>
    <w:rsid w:val="0034556D"/>
    <w:rsid w:val="003462CD"/>
    <w:rsid w:val="0034660E"/>
    <w:rsid w:val="00347933"/>
    <w:rsid w:val="00347DAE"/>
    <w:rsid w:val="00351E4A"/>
    <w:rsid w:val="00354F0C"/>
    <w:rsid w:val="00357214"/>
    <w:rsid w:val="00357FD7"/>
    <w:rsid w:val="00361BC6"/>
    <w:rsid w:val="00361D8A"/>
    <w:rsid w:val="00361DC6"/>
    <w:rsid w:val="00361FB3"/>
    <w:rsid w:val="00362E88"/>
    <w:rsid w:val="00362EE9"/>
    <w:rsid w:val="00363F11"/>
    <w:rsid w:val="003647F7"/>
    <w:rsid w:val="00365FE5"/>
    <w:rsid w:val="00370CE2"/>
    <w:rsid w:val="003720C5"/>
    <w:rsid w:val="003734B7"/>
    <w:rsid w:val="003735A4"/>
    <w:rsid w:val="00373EF4"/>
    <w:rsid w:val="0037430E"/>
    <w:rsid w:val="00375757"/>
    <w:rsid w:val="00376151"/>
    <w:rsid w:val="0037679A"/>
    <w:rsid w:val="00381177"/>
    <w:rsid w:val="00381526"/>
    <w:rsid w:val="00382B60"/>
    <w:rsid w:val="00386ADD"/>
    <w:rsid w:val="00386E75"/>
    <w:rsid w:val="00387713"/>
    <w:rsid w:val="00387E63"/>
    <w:rsid w:val="003909DD"/>
    <w:rsid w:val="003932AA"/>
    <w:rsid w:val="00394184"/>
    <w:rsid w:val="00394536"/>
    <w:rsid w:val="0039708B"/>
    <w:rsid w:val="0039734A"/>
    <w:rsid w:val="00397E4A"/>
    <w:rsid w:val="003A13A5"/>
    <w:rsid w:val="003A14FB"/>
    <w:rsid w:val="003A1E70"/>
    <w:rsid w:val="003A5474"/>
    <w:rsid w:val="003A5A2B"/>
    <w:rsid w:val="003A64AA"/>
    <w:rsid w:val="003A7E90"/>
    <w:rsid w:val="003B38ED"/>
    <w:rsid w:val="003C0D51"/>
    <w:rsid w:val="003C305F"/>
    <w:rsid w:val="003C7BF6"/>
    <w:rsid w:val="003C7DAD"/>
    <w:rsid w:val="003D2295"/>
    <w:rsid w:val="003D27EE"/>
    <w:rsid w:val="003D305F"/>
    <w:rsid w:val="003D38F1"/>
    <w:rsid w:val="003D41CD"/>
    <w:rsid w:val="003D463B"/>
    <w:rsid w:val="003D4E63"/>
    <w:rsid w:val="003D539C"/>
    <w:rsid w:val="003D5EA0"/>
    <w:rsid w:val="003E3552"/>
    <w:rsid w:val="003E409B"/>
    <w:rsid w:val="003E63E6"/>
    <w:rsid w:val="003E68C9"/>
    <w:rsid w:val="003E6B4C"/>
    <w:rsid w:val="003E7764"/>
    <w:rsid w:val="003F4B06"/>
    <w:rsid w:val="003F5D99"/>
    <w:rsid w:val="004001EF"/>
    <w:rsid w:val="00407472"/>
    <w:rsid w:val="0041024D"/>
    <w:rsid w:val="00410803"/>
    <w:rsid w:val="00416CA9"/>
    <w:rsid w:val="00420ABC"/>
    <w:rsid w:val="004216BF"/>
    <w:rsid w:val="00424B3E"/>
    <w:rsid w:val="00425CB3"/>
    <w:rsid w:val="00427918"/>
    <w:rsid w:val="00430B0A"/>
    <w:rsid w:val="004311E6"/>
    <w:rsid w:val="0043125A"/>
    <w:rsid w:val="00432DB4"/>
    <w:rsid w:val="00435891"/>
    <w:rsid w:val="00436D68"/>
    <w:rsid w:val="00440198"/>
    <w:rsid w:val="00442195"/>
    <w:rsid w:val="00447E95"/>
    <w:rsid w:val="00450423"/>
    <w:rsid w:val="00450DE9"/>
    <w:rsid w:val="0045312B"/>
    <w:rsid w:val="004539F0"/>
    <w:rsid w:val="00454340"/>
    <w:rsid w:val="00457292"/>
    <w:rsid w:val="00457794"/>
    <w:rsid w:val="00462D45"/>
    <w:rsid w:val="004647EF"/>
    <w:rsid w:val="00465858"/>
    <w:rsid w:val="00467A42"/>
    <w:rsid w:val="004712FA"/>
    <w:rsid w:val="00472D09"/>
    <w:rsid w:val="00472E07"/>
    <w:rsid w:val="0048075A"/>
    <w:rsid w:val="0048102A"/>
    <w:rsid w:val="004811D8"/>
    <w:rsid w:val="00482260"/>
    <w:rsid w:val="00486580"/>
    <w:rsid w:val="00491528"/>
    <w:rsid w:val="0049373F"/>
    <w:rsid w:val="00493938"/>
    <w:rsid w:val="00494F85"/>
    <w:rsid w:val="00495129"/>
    <w:rsid w:val="0049546A"/>
    <w:rsid w:val="00495DF3"/>
    <w:rsid w:val="004A2071"/>
    <w:rsid w:val="004A4A57"/>
    <w:rsid w:val="004A68E5"/>
    <w:rsid w:val="004B21DB"/>
    <w:rsid w:val="004B4D85"/>
    <w:rsid w:val="004B506F"/>
    <w:rsid w:val="004B717A"/>
    <w:rsid w:val="004C12F7"/>
    <w:rsid w:val="004C1818"/>
    <w:rsid w:val="004C70AF"/>
    <w:rsid w:val="004D0030"/>
    <w:rsid w:val="004D0687"/>
    <w:rsid w:val="004D5A2F"/>
    <w:rsid w:val="004D6FBF"/>
    <w:rsid w:val="004E23B7"/>
    <w:rsid w:val="004E39AA"/>
    <w:rsid w:val="004E3EB8"/>
    <w:rsid w:val="004F0C84"/>
    <w:rsid w:val="004F1086"/>
    <w:rsid w:val="004F313F"/>
    <w:rsid w:val="004F465F"/>
    <w:rsid w:val="004F571A"/>
    <w:rsid w:val="004F6BF7"/>
    <w:rsid w:val="00500513"/>
    <w:rsid w:val="005023C2"/>
    <w:rsid w:val="00504615"/>
    <w:rsid w:val="0050465F"/>
    <w:rsid w:val="005051FD"/>
    <w:rsid w:val="005078AF"/>
    <w:rsid w:val="00510A2A"/>
    <w:rsid w:val="005119D0"/>
    <w:rsid w:val="00515034"/>
    <w:rsid w:val="0051523D"/>
    <w:rsid w:val="00521D91"/>
    <w:rsid w:val="00525354"/>
    <w:rsid w:val="00526800"/>
    <w:rsid w:val="00526EBB"/>
    <w:rsid w:val="00531735"/>
    <w:rsid w:val="00533B16"/>
    <w:rsid w:val="005361B5"/>
    <w:rsid w:val="005372DE"/>
    <w:rsid w:val="00537AD8"/>
    <w:rsid w:val="00540797"/>
    <w:rsid w:val="0054282B"/>
    <w:rsid w:val="00542D90"/>
    <w:rsid w:val="00543506"/>
    <w:rsid w:val="005438AB"/>
    <w:rsid w:val="00546FF0"/>
    <w:rsid w:val="005473F5"/>
    <w:rsid w:val="00547809"/>
    <w:rsid w:val="005503CD"/>
    <w:rsid w:val="005504D0"/>
    <w:rsid w:val="005510EF"/>
    <w:rsid w:val="005517C7"/>
    <w:rsid w:val="005519E9"/>
    <w:rsid w:val="0055271B"/>
    <w:rsid w:val="00554AF1"/>
    <w:rsid w:val="00556C27"/>
    <w:rsid w:val="00562B43"/>
    <w:rsid w:val="005632BE"/>
    <w:rsid w:val="0056437A"/>
    <w:rsid w:val="005648A8"/>
    <w:rsid w:val="00564A2E"/>
    <w:rsid w:val="005679B3"/>
    <w:rsid w:val="00570771"/>
    <w:rsid w:val="005715C3"/>
    <w:rsid w:val="005721ED"/>
    <w:rsid w:val="00572BEF"/>
    <w:rsid w:val="0057457B"/>
    <w:rsid w:val="00577C48"/>
    <w:rsid w:val="0058051C"/>
    <w:rsid w:val="00581641"/>
    <w:rsid w:val="005833BC"/>
    <w:rsid w:val="00585C05"/>
    <w:rsid w:val="00591401"/>
    <w:rsid w:val="00592729"/>
    <w:rsid w:val="00592E3E"/>
    <w:rsid w:val="005933A1"/>
    <w:rsid w:val="00595838"/>
    <w:rsid w:val="00596A8C"/>
    <w:rsid w:val="00597329"/>
    <w:rsid w:val="005A066A"/>
    <w:rsid w:val="005A0750"/>
    <w:rsid w:val="005B1925"/>
    <w:rsid w:val="005B473D"/>
    <w:rsid w:val="005B5E5C"/>
    <w:rsid w:val="005B6434"/>
    <w:rsid w:val="005B67E8"/>
    <w:rsid w:val="005B6B83"/>
    <w:rsid w:val="005B75C5"/>
    <w:rsid w:val="005B7AD4"/>
    <w:rsid w:val="005C0567"/>
    <w:rsid w:val="005C25D1"/>
    <w:rsid w:val="005C3D48"/>
    <w:rsid w:val="005C47CC"/>
    <w:rsid w:val="005D0589"/>
    <w:rsid w:val="005D0665"/>
    <w:rsid w:val="005D09E0"/>
    <w:rsid w:val="005D2B36"/>
    <w:rsid w:val="005D3660"/>
    <w:rsid w:val="005E0E6A"/>
    <w:rsid w:val="005E68EF"/>
    <w:rsid w:val="005E7A75"/>
    <w:rsid w:val="005F0D0D"/>
    <w:rsid w:val="005F1292"/>
    <w:rsid w:val="005F437D"/>
    <w:rsid w:val="00604B6B"/>
    <w:rsid w:val="00607E54"/>
    <w:rsid w:val="00615C70"/>
    <w:rsid w:val="00616677"/>
    <w:rsid w:val="00617373"/>
    <w:rsid w:val="00617870"/>
    <w:rsid w:val="00621709"/>
    <w:rsid w:val="00621BCD"/>
    <w:rsid w:val="00622C4C"/>
    <w:rsid w:val="00622E4E"/>
    <w:rsid w:val="00623BF8"/>
    <w:rsid w:val="006252E3"/>
    <w:rsid w:val="00625E22"/>
    <w:rsid w:val="00627360"/>
    <w:rsid w:val="00627792"/>
    <w:rsid w:val="00630E85"/>
    <w:rsid w:val="006336F0"/>
    <w:rsid w:val="00634811"/>
    <w:rsid w:val="00640235"/>
    <w:rsid w:val="00644DFC"/>
    <w:rsid w:val="006456F2"/>
    <w:rsid w:val="00645F46"/>
    <w:rsid w:val="00646316"/>
    <w:rsid w:val="006465AE"/>
    <w:rsid w:val="0064663D"/>
    <w:rsid w:val="006508E8"/>
    <w:rsid w:val="00660D81"/>
    <w:rsid w:val="00661357"/>
    <w:rsid w:val="00662B35"/>
    <w:rsid w:val="00675C0C"/>
    <w:rsid w:val="00680B93"/>
    <w:rsid w:val="006811EB"/>
    <w:rsid w:val="00681F45"/>
    <w:rsid w:val="00685930"/>
    <w:rsid w:val="006863EC"/>
    <w:rsid w:val="00686920"/>
    <w:rsid w:val="00687A85"/>
    <w:rsid w:val="00696884"/>
    <w:rsid w:val="006A1F57"/>
    <w:rsid w:val="006A267D"/>
    <w:rsid w:val="006A3CF1"/>
    <w:rsid w:val="006A408B"/>
    <w:rsid w:val="006A531A"/>
    <w:rsid w:val="006B32B4"/>
    <w:rsid w:val="006D07B4"/>
    <w:rsid w:val="006D1C25"/>
    <w:rsid w:val="006D4AC1"/>
    <w:rsid w:val="006D4ACC"/>
    <w:rsid w:val="006E1165"/>
    <w:rsid w:val="006E607B"/>
    <w:rsid w:val="006E6FB5"/>
    <w:rsid w:val="006E7F09"/>
    <w:rsid w:val="006E7FA6"/>
    <w:rsid w:val="006F1398"/>
    <w:rsid w:val="006F2B62"/>
    <w:rsid w:val="006F45F8"/>
    <w:rsid w:val="006F643C"/>
    <w:rsid w:val="006F6CA4"/>
    <w:rsid w:val="006F7850"/>
    <w:rsid w:val="006F7B8D"/>
    <w:rsid w:val="006F7E42"/>
    <w:rsid w:val="00703F7B"/>
    <w:rsid w:val="007074D9"/>
    <w:rsid w:val="00707FF9"/>
    <w:rsid w:val="00712A83"/>
    <w:rsid w:val="00712AD3"/>
    <w:rsid w:val="00712F35"/>
    <w:rsid w:val="007134FB"/>
    <w:rsid w:val="00713879"/>
    <w:rsid w:val="0071449A"/>
    <w:rsid w:val="00714C22"/>
    <w:rsid w:val="00716E3E"/>
    <w:rsid w:val="007176DE"/>
    <w:rsid w:val="00717762"/>
    <w:rsid w:val="00717874"/>
    <w:rsid w:val="00722990"/>
    <w:rsid w:val="00731DBA"/>
    <w:rsid w:val="00731F7D"/>
    <w:rsid w:val="00733838"/>
    <w:rsid w:val="00734913"/>
    <w:rsid w:val="00736262"/>
    <w:rsid w:val="00741591"/>
    <w:rsid w:val="0074283C"/>
    <w:rsid w:val="00742D68"/>
    <w:rsid w:val="0074473C"/>
    <w:rsid w:val="00744880"/>
    <w:rsid w:val="00746C71"/>
    <w:rsid w:val="00752237"/>
    <w:rsid w:val="00753A05"/>
    <w:rsid w:val="00753AD8"/>
    <w:rsid w:val="00754284"/>
    <w:rsid w:val="0075759F"/>
    <w:rsid w:val="007602E0"/>
    <w:rsid w:val="00761B17"/>
    <w:rsid w:val="00767913"/>
    <w:rsid w:val="0077278F"/>
    <w:rsid w:val="00773EC7"/>
    <w:rsid w:val="00777FAA"/>
    <w:rsid w:val="007838C5"/>
    <w:rsid w:val="00785635"/>
    <w:rsid w:val="007876FC"/>
    <w:rsid w:val="00792370"/>
    <w:rsid w:val="00793CC3"/>
    <w:rsid w:val="0079564B"/>
    <w:rsid w:val="007A1A3B"/>
    <w:rsid w:val="007A3A11"/>
    <w:rsid w:val="007A489C"/>
    <w:rsid w:val="007A68D6"/>
    <w:rsid w:val="007A7150"/>
    <w:rsid w:val="007B0DBF"/>
    <w:rsid w:val="007B242D"/>
    <w:rsid w:val="007B4165"/>
    <w:rsid w:val="007C0BA1"/>
    <w:rsid w:val="007C1207"/>
    <w:rsid w:val="007C430C"/>
    <w:rsid w:val="007C5877"/>
    <w:rsid w:val="007C5F05"/>
    <w:rsid w:val="007C6E41"/>
    <w:rsid w:val="007D1456"/>
    <w:rsid w:val="007D233D"/>
    <w:rsid w:val="007D58D1"/>
    <w:rsid w:val="007D6190"/>
    <w:rsid w:val="007E1CD1"/>
    <w:rsid w:val="007E2F3B"/>
    <w:rsid w:val="007E509A"/>
    <w:rsid w:val="007E72B9"/>
    <w:rsid w:val="007F0782"/>
    <w:rsid w:val="007F4236"/>
    <w:rsid w:val="007F426D"/>
    <w:rsid w:val="007F76EB"/>
    <w:rsid w:val="008006B8"/>
    <w:rsid w:val="00801F69"/>
    <w:rsid w:val="008039AC"/>
    <w:rsid w:val="0080478D"/>
    <w:rsid w:val="0080551D"/>
    <w:rsid w:val="008208A6"/>
    <w:rsid w:val="00823D8B"/>
    <w:rsid w:val="00825177"/>
    <w:rsid w:val="0083007C"/>
    <w:rsid w:val="008301F8"/>
    <w:rsid w:val="00831DB3"/>
    <w:rsid w:val="008337C2"/>
    <w:rsid w:val="008339BC"/>
    <w:rsid w:val="00834331"/>
    <w:rsid w:val="00837564"/>
    <w:rsid w:val="0084081D"/>
    <w:rsid w:val="00840A87"/>
    <w:rsid w:val="00845F73"/>
    <w:rsid w:val="00847D5B"/>
    <w:rsid w:val="00850682"/>
    <w:rsid w:val="00851550"/>
    <w:rsid w:val="008537CE"/>
    <w:rsid w:val="00854A8C"/>
    <w:rsid w:val="0086134F"/>
    <w:rsid w:val="0086136E"/>
    <w:rsid w:val="008616E2"/>
    <w:rsid w:val="00861FD0"/>
    <w:rsid w:val="00864158"/>
    <w:rsid w:val="00865D72"/>
    <w:rsid w:val="00866BAA"/>
    <w:rsid w:val="008676CB"/>
    <w:rsid w:val="008705D7"/>
    <w:rsid w:val="00870B2A"/>
    <w:rsid w:val="00872E21"/>
    <w:rsid w:val="00876341"/>
    <w:rsid w:val="00876CB8"/>
    <w:rsid w:val="00882D23"/>
    <w:rsid w:val="00882F1B"/>
    <w:rsid w:val="00883F0B"/>
    <w:rsid w:val="00886313"/>
    <w:rsid w:val="00890A68"/>
    <w:rsid w:val="008926C6"/>
    <w:rsid w:val="00895258"/>
    <w:rsid w:val="00895D41"/>
    <w:rsid w:val="00896E76"/>
    <w:rsid w:val="008A5F19"/>
    <w:rsid w:val="008A6B8A"/>
    <w:rsid w:val="008B1DED"/>
    <w:rsid w:val="008B2119"/>
    <w:rsid w:val="008B2350"/>
    <w:rsid w:val="008B3AC1"/>
    <w:rsid w:val="008B4666"/>
    <w:rsid w:val="008B6509"/>
    <w:rsid w:val="008C0237"/>
    <w:rsid w:val="008C09DA"/>
    <w:rsid w:val="008C3162"/>
    <w:rsid w:val="008C55D4"/>
    <w:rsid w:val="008C69F5"/>
    <w:rsid w:val="008C73E1"/>
    <w:rsid w:val="008D0BEC"/>
    <w:rsid w:val="008D2CC1"/>
    <w:rsid w:val="008D3173"/>
    <w:rsid w:val="008D321E"/>
    <w:rsid w:val="008E6889"/>
    <w:rsid w:val="008F029C"/>
    <w:rsid w:val="008F0D86"/>
    <w:rsid w:val="008F22D1"/>
    <w:rsid w:val="008F302A"/>
    <w:rsid w:val="008F4A18"/>
    <w:rsid w:val="008F4D92"/>
    <w:rsid w:val="008F6F22"/>
    <w:rsid w:val="0090332E"/>
    <w:rsid w:val="00903CBB"/>
    <w:rsid w:val="00906AD4"/>
    <w:rsid w:val="00907DF6"/>
    <w:rsid w:val="009123A0"/>
    <w:rsid w:val="00913403"/>
    <w:rsid w:val="00914959"/>
    <w:rsid w:val="009167DA"/>
    <w:rsid w:val="00922067"/>
    <w:rsid w:val="00922D8F"/>
    <w:rsid w:val="0092413F"/>
    <w:rsid w:val="00925857"/>
    <w:rsid w:val="00925937"/>
    <w:rsid w:val="00926914"/>
    <w:rsid w:val="009331F0"/>
    <w:rsid w:val="00934B6D"/>
    <w:rsid w:val="00943DFE"/>
    <w:rsid w:val="00947CFE"/>
    <w:rsid w:val="0095278A"/>
    <w:rsid w:val="00952E7F"/>
    <w:rsid w:val="00954C10"/>
    <w:rsid w:val="00957261"/>
    <w:rsid w:val="00957602"/>
    <w:rsid w:val="00960E52"/>
    <w:rsid w:val="00961AD8"/>
    <w:rsid w:val="0096228D"/>
    <w:rsid w:val="0096604F"/>
    <w:rsid w:val="00966B83"/>
    <w:rsid w:val="0097086A"/>
    <w:rsid w:val="0097229E"/>
    <w:rsid w:val="009750F5"/>
    <w:rsid w:val="009762AF"/>
    <w:rsid w:val="00980249"/>
    <w:rsid w:val="00981C84"/>
    <w:rsid w:val="00981D58"/>
    <w:rsid w:val="0098229A"/>
    <w:rsid w:val="00982674"/>
    <w:rsid w:val="00983CE4"/>
    <w:rsid w:val="009842C5"/>
    <w:rsid w:val="00984CA0"/>
    <w:rsid w:val="00984E12"/>
    <w:rsid w:val="00985B4C"/>
    <w:rsid w:val="0099633C"/>
    <w:rsid w:val="009971C0"/>
    <w:rsid w:val="00997F8A"/>
    <w:rsid w:val="009A31DA"/>
    <w:rsid w:val="009A3D45"/>
    <w:rsid w:val="009A5050"/>
    <w:rsid w:val="009B03FA"/>
    <w:rsid w:val="009B1635"/>
    <w:rsid w:val="009B3495"/>
    <w:rsid w:val="009B37D1"/>
    <w:rsid w:val="009B3AF9"/>
    <w:rsid w:val="009B6F8D"/>
    <w:rsid w:val="009C1C14"/>
    <w:rsid w:val="009C2D3B"/>
    <w:rsid w:val="009C334D"/>
    <w:rsid w:val="009C4608"/>
    <w:rsid w:val="009C4F05"/>
    <w:rsid w:val="009C5A4D"/>
    <w:rsid w:val="009C7F83"/>
    <w:rsid w:val="009D0624"/>
    <w:rsid w:val="009D0B85"/>
    <w:rsid w:val="009D235A"/>
    <w:rsid w:val="009D2AF5"/>
    <w:rsid w:val="009D2EBC"/>
    <w:rsid w:val="009D340A"/>
    <w:rsid w:val="009D46AA"/>
    <w:rsid w:val="009D4EEC"/>
    <w:rsid w:val="009D516A"/>
    <w:rsid w:val="009D523B"/>
    <w:rsid w:val="009D5BD3"/>
    <w:rsid w:val="009E2717"/>
    <w:rsid w:val="009E4199"/>
    <w:rsid w:val="009E5AFB"/>
    <w:rsid w:val="009F1DBB"/>
    <w:rsid w:val="009F2029"/>
    <w:rsid w:val="009F243F"/>
    <w:rsid w:val="00A007B3"/>
    <w:rsid w:val="00A012BF"/>
    <w:rsid w:val="00A01634"/>
    <w:rsid w:val="00A055DF"/>
    <w:rsid w:val="00A107E1"/>
    <w:rsid w:val="00A1130D"/>
    <w:rsid w:val="00A11B4C"/>
    <w:rsid w:val="00A171E3"/>
    <w:rsid w:val="00A21462"/>
    <w:rsid w:val="00A241BD"/>
    <w:rsid w:val="00A2490D"/>
    <w:rsid w:val="00A2689B"/>
    <w:rsid w:val="00A26ACF"/>
    <w:rsid w:val="00A30644"/>
    <w:rsid w:val="00A32287"/>
    <w:rsid w:val="00A37679"/>
    <w:rsid w:val="00A37B8C"/>
    <w:rsid w:val="00A37E30"/>
    <w:rsid w:val="00A40089"/>
    <w:rsid w:val="00A44315"/>
    <w:rsid w:val="00A4450F"/>
    <w:rsid w:val="00A44BBB"/>
    <w:rsid w:val="00A46327"/>
    <w:rsid w:val="00A4716F"/>
    <w:rsid w:val="00A50308"/>
    <w:rsid w:val="00A61B92"/>
    <w:rsid w:val="00A634E7"/>
    <w:rsid w:val="00A63C34"/>
    <w:rsid w:val="00A646E2"/>
    <w:rsid w:val="00A65103"/>
    <w:rsid w:val="00A660BA"/>
    <w:rsid w:val="00A71452"/>
    <w:rsid w:val="00A73D2A"/>
    <w:rsid w:val="00A83480"/>
    <w:rsid w:val="00A850CB"/>
    <w:rsid w:val="00A902CB"/>
    <w:rsid w:val="00A90947"/>
    <w:rsid w:val="00A96A26"/>
    <w:rsid w:val="00A96EC5"/>
    <w:rsid w:val="00AA1851"/>
    <w:rsid w:val="00AA2F06"/>
    <w:rsid w:val="00AA3591"/>
    <w:rsid w:val="00AA5945"/>
    <w:rsid w:val="00AA6A59"/>
    <w:rsid w:val="00AB19F6"/>
    <w:rsid w:val="00AB4DA3"/>
    <w:rsid w:val="00AC0700"/>
    <w:rsid w:val="00AC1E28"/>
    <w:rsid w:val="00AC546D"/>
    <w:rsid w:val="00AC5A73"/>
    <w:rsid w:val="00AD0E18"/>
    <w:rsid w:val="00AD0EDB"/>
    <w:rsid w:val="00AD1C3F"/>
    <w:rsid w:val="00AD226D"/>
    <w:rsid w:val="00AD22A7"/>
    <w:rsid w:val="00AD29B4"/>
    <w:rsid w:val="00AD423C"/>
    <w:rsid w:val="00AD48C7"/>
    <w:rsid w:val="00AE2CDB"/>
    <w:rsid w:val="00AE2DE6"/>
    <w:rsid w:val="00AE5456"/>
    <w:rsid w:val="00AE72BF"/>
    <w:rsid w:val="00AF4F73"/>
    <w:rsid w:val="00AF5973"/>
    <w:rsid w:val="00AF605F"/>
    <w:rsid w:val="00AF69CE"/>
    <w:rsid w:val="00B015C1"/>
    <w:rsid w:val="00B02367"/>
    <w:rsid w:val="00B03383"/>
    <w:rsid w:val="00B03C36"/>
    <w:rsid w:val="00B07702"/>
    <w:rsid w:val="00B105B6"/>
    <w:rsid w:val="00B10C96"/>
    <w:rsid w:val="00B12023"/>
    <w:rsid w:val="00B1241F"/>
    <w:rsid w:val="00B1323B"/>
    <w:rsid w:val="00B14550"/>
    <w:rsid w:val="00B16C16"/>
    <w:rsid w:val="00B16FBE"/>
    <w:rsid w:val="00B173EA"/>
    <w:rsid w:val="00B203D4"/>
    <w:rsid w:val="00B20DCF"/>
    <w:rsid w:val="00B2223E"/>
    <w:rsid w:val="00B2458F"/>
    <w:rsid w:val="00B248AD"/>
    <w:rsid w:val="00B26321"/>
    <w:rsid w:val="00B26356"/>
    <w:rsid w:val="00B26855"/>
    <w:rsid w:val="00B3153A"/>
    <w:rsid w:val="00B33816"/>
    <w:rsid w:val="00B34CB6"/>
    <w:rsid w:val="00B43810"/>
    <w:rsid w:val="00B43AE0"/>
    <w:rsid w:val="00B46314"/>
    <w:rsid w:val="00B47471"/>
    <w:rsid w:val="00B477AE"/>
    <w:rsid w:val="00B50E34"/>
    <w:rsid w:val="00B51AC5"/>
    <w:rsid w:val="00B5466D"/>
    <w:rsid w:val="00B548DD"/>
    <w:rsid w:val="00B57911"/>
    <w:rsid w:val="00B603A1"/>
    <w:rsid w:val="00B61DD6"/>
    <w:rsid w:val="00B62843"/>
    <w:rsid w:val="00B637B2"/>
    <w:rsid w:val="00B6537B"/>
    <w:rsid w:val="00B6549C"/>
    <w:rsid w:val="00B663C9"/>
    <w:rsid w:val="00B66A57"/>
    <w:rsid w:val="00B67022"/>
    <w:rsid w:val="00B72923"/>
    <w:rsid w:val="00B75859"/>
    <w:rsid w:val="00B76E00"/>
    <w:rsid w:val="00B76F5E"/>
    <w:rsid w:val="00B80F37"/>
    <w:rsid w:val="00B916D3"/>
    <w:rsid w:val="00B962B5"/>
    <w:rsid w:val="00BA6D22"/>
    <w:rsid w:val="00BB007C"/>
    <w:rsid w:val="00BB20E6"/>
    <w:rsid w:val="00BB4B0C"/>
    <w:rsid w:val="00BB7526"/>
    <w:rsid w:val="00BC5B32"/>
    <w:rsid w:val="00BC669D"/>
    <w:rsid w:val="00BD08F1"/>
    <w:rsid w:val="00BD18E9"/>
    <w:rsid w:val="00BE083A"/>
    <w:rsid w:val="00BE0D23"/>
    <w:rsid w:val="00BE1135"/>
    <w:rsid w:val="00BE4590"/>
    <w:rsid w:val="00BE626C"/>
    <w:rsid w:val="00BE6C76"/>
    <w:rsid w:val="00BF276B"/>
    <w:rsid w:val="00BF335F"/>
    <w:rsid w:val="00BF3E4C"/>
    <w:rsid w:val="00BF46FE"/>
    <w:rsid w:val="00BF69AC"/>
    <w:rsid w:val="00BF7698"/>
    <w:rsid w:val="00C01F78"/>
    <w:rsid w:val="00C03065"/>
    <w:rsid w:val="00C0426D"/>
    <w:rsid w:val="00C04A4F"/>
    <w:rsid w:val="00C0502A"/>
    <w:rsid w:val="00C058CC"/>
    <w:rsid w:val="00C069C5"/>
    <w:rsid w:val="00C07DD5"/>
    <w:rsid w:val="00C10C3B"/>
    <w:rsid w:val="00C1123E"/>
    <w:rsid w:val="00C12231"/>
    <w:rsid w:val="00C128ED"/>
    <w:rsid w:val="00C131B2"/>
    <w:rsid w:val="00C132D1"/>
    <w:rsid w:val="00C155D9"/>
    <w:rsid w:val="00C20F2F"/>
    <w:rsid w:val="00C218A9"/>
    <w:rsid w:val="00C23BFA"/>
    <w:rsid w:val="00C26594"/>
    <w:rsid w:val="00C26DF1"/>
    <w:rsid w:val="00C27036"/>
    <w:rsid w:val="00C2717D"/>
    <w:rsid w:val="00C27ED7"/>
    <w:rsid w:val="00C301B3"/>
    <w:rsid w:val="00C304D9"/>
    <w:rsid w:val="00C42A43"/>
    <w:rsid w:val="00C4496E"/>
    <w:rsid w:val="00C46A47"/>
    <w:rsid w:val="00C47C0F"/>
    <w:rsid w:val="00C55F51"/>
    <w:rsid w:val="00C564F8"/>
    <w:rsid w:val="00C5791B"/>
    <w:rsid w:val="00C62EA8"/>
    <w:rsid w:val="00C659DB"/>
    <w:rsid w:val="00C714B3"/>
    <w:rsid w:val="00C72656"/>
    <w:rsid w:val="00C7433E"/>
    <w:rsid w:val="00C81C3B"/>
    <w:rsid w:val="00C844BB"/>
    <w:rsid w:val="00C92012"/>
    <w:rsid w:val="00C9207A"/>
    <w:rsid w:val="00C9690A"/>
    <w:rsid w:val="00CA2C9D"/>
    <w:rsid w:val="00CA2E94"/>
    <w:rsid w:val="00CA513A"/>
    <w:rsid w:val="00CA7C0E"/>
    <w:rsid w:val="00CB0A86"/>
    <w:rsid w:val="00CC4340"/>
    <w:rsid w:val="00CC45FB"/>
    <w:rsid w:val="00CC4A80"/>
    <w:rsid w:val="00CC4D24"/>
    <w:rsid w:val="00CC4F36"/>
    <w:rsid w:val="00CD32D4"/>
    <w:rsid w:val="00CD3FB4"/>
    <w:rsid w:val="00CD5F38"/>
    <w:rsid w:val="00CD6D96"/>
    <w:rsid w:val="00CD735F"/>
    <w:rsid w:val="00CE13BC"/>
    <w:rsid w:val="00CE1F38"/>
    <w:rsid w:val="00CE2896"/>
    <w:rsid w:val="00CE5025"/>
    <w:rsid w:val="00CE6D9E"/>
    <w:rsid w:val="00CF0646"/>
    <w:rsid w:val="00CF203E"/>
    <w:rsid w:val="00CF2258"/>
    <w:rsid w:val="00CF4513"/>
    <w:rsid w:val="00CF60A7"/>
    <w:rsid w:val="00CF666E"/>
    <w:rsid w:val="00D006CD"/>
    <w:rsid w:val="00D01BF8"/>
    <w:rsid w:val="00D02A8A"/>
    <w:rsid w:val="00D050F8"/>
    <w:rsid w:val="00D05354"/>
    <w:rsid w:val="00D06754"/>
    <w:rsid w:val="00D07699"/>
    <w:rsid w:val="00D102D6"/>
    <w:rsid w:val="00D10848"/>
    <w:rsid w:val="00D1165F"/>
    <w:rsid w:val="00D1672A"/>
    <w:rsid w:val="00D17192"/>
    <w:rsid w:val="00D269CC"/>
    <w:rsid w:val="00D26B1B"/>
    <w:rsid w:val="00D27DC5"/>
    <w:rsid w:val="00D3175E"/>
    <w:rsid w:val="00D339BA"/>
    <w:rsid w:val="00D33E3B"/>
    <w:rsid w:val="00D34B9F"/>
    <w:rsid w:val="00D3610B"/>
    <w:rsid w:val="00D379A0"/>
    <w:rsid w:val="00D40A14"/>
    <w:rsid w:val="00D41978"/>
    <w:rsid w:val="00D41F28"/>
    <w:rsid w:val="00D44FC2"/>
    <w:rsid w:val="00D45671"/>
    <w:rsid w:val="00D4620F"/>
    <w:rsid w:val="00D46920"/>
    <w:rsid w:val="00D46EFA"/>
    <w:rsid w:val="00D55C18"/>
    <w:rsid w:val="00D610B5"/>
    <w:rsid w:val="00D612AE"/>
    <w:rsid w:val="00D620E0"/>
    <w:rsid w:val="00D63CB1"/>
    <w:rsid w:val="00D65041"/>
    <w:rsid w:val="00D65145"/>
    <w:rsid w:val="00D65E9B"/>
    <w:rsid w:val="00D67C82"/>
    <w:rsid w:val="00D67CFD"/>
    <w:rsid w:val="00D700AF"/>
    <w:rsid w:val="00D71BD1"/>
    <w:rsid w:val="00D71FC4"/>
    <w:rsid w:val="00D725FB"/>
    <w:rsid w:val="00D7393A"/>
    <w:rsid w:val="00D73B73"/>
    <w:rsid w:val="00D772CC"/>
    <w:rsid w:val="00D7758C"/>
    <w:rsid w:val="00D81A42"/>
    <w:rsid w:val="00D8304E"/>
    <w:rsid w:val="00D8394A"/>
    <w:rsid w:val="00D870C5"/>
    <w:rsid w:val="00D872AD"/>
    <w:rsid w:val="00D879D4"/>
    <w:rsid w:val="00D879FE"/>
    <w:rsid w:val="00D91FA7"/>
    <w:rsid w:val="00D92CEA"/>
    <w:rsid w:val="00D93CB5"/>
    <w:rsid w:val="00D945EE"/>
    <w:rsid w:val="00D97513"/>
    <w:rsid w:val="00DA0DE8"/>
    <w:rsid w:val="00DA2FCB"/>
    <w:rsid w:val="00DB1D7F"/>
    <w:rsid w:val="00DB3880"/>
    <w:rsid w:val="00DB447E"/>
    <w:rsid w:val="00DC0638"/>
    <w:rsid w:val="00DC17D2"/>
    <w:rsid w:val="00DC6523"/>
    <w:rsid w:val="00DC6539"/>
    <w:rsid w:val="00DD10D9"/>
    <w:rsid w:val="00DD3E19"/>
    <w:rsid w:val="00DD6AB8"/>
    <w:rsid w:val="00DE228A"/>
    <w:rsid w:val="00DE3106"/>
    <w:rsid w:val="00DE39D6"/>
    <w:rsid w:val="00DE4855"/>
    <w:rsid w:val="00DE4E61"/>
    <w:rsid w:val="00DF093C"/>
    <w:rsid w:val="00DF1A50"/>
    <w:rsid w:val="00DF23A3"/>
    <w:rsid w:val="00DF29D6"/>
    <w:rsid w:val="00DF2EDB"/>
    <w:rsid w:val="00DF3C91"/>
    <w:rsid w:val="00DF3DF8"/>
    <w:rsid w:val="00DF5CB4"/>
    <w:rsid w:val="00DF7984"/>
    <w:rsid w:val="00E008D1"/>
    <w:rsid w:val="00E0727B"/>
    <w:rsid w:val="00E07F01"/>
    <w:rsid w:val="00E11D98"/>
    <w:rsid w:val="00E12545"/>
    <w:rsid w:val="00E12BC2"/>
    <w:rsid w:val="00E145DE"/>
    <w:rsid w:val="00E151BF"/>
    <w:rsid w:val="00E15893"/>
    <w:rsid w:val="00E162F7"/>
    <w:rsid w:val="00E17CD7"/>
    <w:rsid w:val="00E20951"/>
    <w:rsid w:val="00E23A6A"/>
    <w:rsid w:val="00E2501F"/>
    <w:rsid w:val="00E25AC4"/>
    <w:rsid w:val="00E27679"/>
    <w:rsid w:val="00E27EB7"/>
    <w:rsid w:val="00E326A0"/>
    <w:rsid w:val="00E32EB7"/>
    <w:rsid w:val="00E3555E"/>
    <w:rsid w:val="00E3725F"/>
    <w:rsid w:val="00E408A4"/>
    <w:rsid w:val="00E42E17"/>
    <w:rsid w:val="00E43285"/>
    <w:rsid w:val="00E466BB"/>
    <w:rsid w:val="00E47B48"/>
    <w:rsid w:val="00E5591F"/>
    <w:rsid w:val="00E610B3"/>
    <w:rsid w:val="00E63261"/>
    <w:rsid w:val="00E64186"/>
    <w:rsid w:val="00E65F54"/>
    <w:rsid w:val="00E66175"/>
    <w:rsid w:val="00E67573"/>
    <w:rsid w:val="00E676C0"/>
    <w:rsid w:val="00E71A2E"/>
    <w:rsid w:val="00E71D20"/>
    <w:rsid w:val="00E73EFA"/>
    <w:rsid w:val="00E80542"/>
    <w:rsid w:val="00E8154E"/>
    <w:rsid w:val="00E81B99"/>
    <w:rsid w:val="00E82088"/>
    <w:rsid w:val="00E824B8"/>
    <w:rsid w:val="00E82F5A"/>
    <w:rsid w:val="00E86CE8"/>
    <w:rsid w:val="00E87678"/>
    <w:rsid w:val="00E917D7"/>
    <w:rsid w:val="00E9309F"/>
    <w:rsid w:val="00E93740"/>
    <w:rsid w:val="00E95DBB"/>
    <w:rsid w:val="00E95EF8"/>
    <w:rsid w:val="00E96B67"/>
    <w:rsid w:val="00E97B6C"/>
    <w:rsid w:val="00E97BD2"/>
    <w:rsid w:val="00EA3D76"/>
    <w:rsid w:val="00EA5316"/>
    <w:rsid w:val="00EA58E9"/>
    <w:rsid w:val="00EA599C"/>
    <w:rsid w:val="00EB28FD"/>
    <w:rsid w:val="00EB2F1C"/>
    <w:rsid w:val="00EB3B3A"/>
    <w:rsid w:val="00EB463A"/>
    <w:rsid w:val="00EB4CE0"/>
    <w:rsid w:val="00EB72BA"/>
    <w:rsid w:val="00EC0957"/>
    <w:rsid w:val="00EC0A67"/>
    <w:rsid w:val="00EC1710"/>
    <w:rsid w:val="00EC50D0"/>
    <w:rsid w:val="00ED38D1"/>
    <w:rsid w:val="00ED69EE"/>
    <w:rsid w:val="00ED7B1B"/>
    <w:rsid w:val="00EE04B2"/>
    <w:rsid w:val="00EE18C4"/>
    <w:rsid w:val="00EE22C0"/>
    <w:rsid w:val="00EE2A96"/>
    <w:rsid w:val="00EE4A88"/>
    <w:rsid w:val="00EE4E1E"/>
    <w:rsid w:val="00EE5C6F"/>
    <w:rsid w:val="00EE69A2"/>
    <w:rsid w:val="00EE6E75"/>
    <w:rsid w:val="00EE701F"/>
    <w:rsid w:val="00EF1564"/>
    <w:rsid w:val="00EF1C00"/>
    <w:rsid w:val="00EF1E50"/>
    <w:rsid w:val="00EF436B"/>
    <w:rsid w:val="00EF71B7"/>
    <w:rsid w:val="00F00B4C"/>
    <w:rsid w:val="00F023DC"/>
    <w:rsid w:val="00F02A3F"/>
    <w:rsid w:val="00F0302A"/>
    <w:rsid w:val="00F03AA0"/>
    <w:rsid w:val="00F03E3B"/>
    <w:rsid w:val="00F075BB"/>
    <w:rsid w:val="00F11935"/>
    <w:rsid w:val="00F134EB"/>
    <w:rsid w:val="00F141FB"/>
    <w:rsid w:val="00F200B5"/>
    <w:rsid w:val="00F20C4E"/>
    <w:rsid w:val="00F22F80"/>
    <w:rsid w:val="00F2475A"/>
    <w:rsid w:val="00F2589D"/>
    <w:rsid w:val="00F260E7"/>
    <w:rsid w:val="00F261C0"/>
    <w:rsid w:val="00F27F54"/>
    <w:rsid w:val="00F34B93"/>
    <w:rsid w:val="00F34FD3"/>
    <w:rsid w:val="00F35D0C"/>
    <w:rsid w:val="00F3676F"/>
    <w:rsid w:val="00F37A82"/>
    <w:rsid w:val="00F426C9"/>
    <w:rsid w:val="00F43430"/>
    <w:rsid w:val="00F45739"/>
    <w:rsid w:val="00F45BDA"/>
    <w:rsid w:val="00F5093A"/>
    <w:rsid w:val="00F529A7"/>
    <w:rsid w:val="00F54DF2"/>
    <w:rsid w:val="00F54EB1"/>
    <w:rsid w:val="00F55163"/>
    <w:rsid w:val="00F55C0A"/>
    <w:rsid w:val="00F56DC7"/>
    <w:rsid w:val="00F61340"/>
    <w:rsid w:val="00F6146B"/>
    <w:rsid w:val="00F63403"/>
    <w:rsid w:val="00F63B1E"/>
    <w:rsid w:val="00F63B5E"/>
    <w:rsid w:val="00F63C35"/>
    <w:rsid w:val="00F672CC"/>
    <w:rsid w:val="00F674EC"/>
    <w:rsid w:val="00F677D5"/>
    <w:rsid w:val="00F75A6D"/>
    <w:rsid w:val="00F75C63"/>
    <w:rsid w:val="00F77575"/>
    <w:rsid w:val="00F77CD8"/>
    <w:rsid w:val="00F8741F"/>
    <w:rsid w:val="00F946A9"/>
    <w:rsid w:val="00F951C0"/>
    <w:rsid w:val="00F955BF"/>
    <w:rsid w:val="00F97E8B"/>
    <w:rsid w:val="00FA0230"/>
    <w:rsid w:val="00FA18C0"/>
    <w:rsid w:val="00FA2AD2"/>
    <w:rsid w:val="00FA5A7E"/>
    <w:rsid w:val="00FA6140"/>
    <w:rsid w:val="00FB412D"/>
    <w:rsid w:val="00FB4B33"/>
    <w:rsid w:val="00FC2062"/>
    <w:rsid w:val="00FC686A"/>
    <w:rsid w:val="00FC6F6C"/>
    <w:rsid w:val="00FC7CF7"/>
    <w:rsid w:val="00FD04A5"/>
    <w:rsid w:val="00FD1962"/>
    <w:rsid w:val="00FD35ED"/>
    <w:rsid w:val="00FD4CC7"/>
    <w:rsid w:val="00FD5D4C"/>
    <w:rsid w:val="00FD60F9"/>
    <w:rsid w:val="00FD73D8"/>
    <w:rsid w:val="00FE168B"/>
    <w:rsid w:val="00FE304F"/>
    <w:rsid w:val="00FE3F14"/>
    <w:rsid w:val="00FE511E"/>
    <w:rsid w:val="00FE529A"/>
    <w:rsid w:val="00FE7402"/>
    <w:rsid w:val="00FE78D4"/>
    <w:rsid w:val="00FE7ECB"/>
    <w:rsid w:val="00FF2372"/>
    <w:rsid w:val="00FF2F8C"/>
    <w:rsid w:val="00FF6B09"/>
    <w:rsid w:val="00FF7CE5"/>
    <w:rsid w:val="70FFD430"/>
    <w:rsid w:val="7EBF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91D18F9E-BF32-486C-BA3A-F2E059DA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宋体" w:hAnsi="Wingdings"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lsdException w:name="Block Text" w:semiHidden="1" w:unhideWhenUsed="1"/>
    <w:lsdException w:name="Hyperlink" w:qFormat="1"/>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1B92"/>
    <w:pPr>
      <w:overflowPunct w:val="0"/>
      <w:autoSpaceDE w:val="0"/>
      <w:autoSpaceDN w:val="0"/>
      <w:adjustRightInd w:val="0"/>
      <w:spacing w:after="180"/>
      <w:textAlignment w:val="baseline"/>
    </w:pPr>
    <w:rPr>
      <w:rFonts w:eastAsia="Wingdings"/>
      <w:lang w:val="en-GB" w:eastAsia="en-US"/>
    </w:rPr>
  </w:style>
  <w:style w:type="paragraph" w:styleId="1">
    <w:name w:val="heading 1"/>
    <w:next w:val="2"/>
    <w:link w:val="1Char"/>
    <w:qFormat/>
    <w:pPr>
      <w:keepNext/>
      <w:keepLines/>
      <w:numPr>
        <w:numId w:val="6"/>
      </w:numPr>
      <w:pBdr>
        <w:top w:val="single" w:sz="12" w:space="3" w:color="auto"/>
      </w:pBdr>
      <w:tabs>
        <w:tab w:val="left" w:pos="432"/>
      </w:tabs>
      <w:overflowPunct w:val="0"/>
      <w:autoSpaceDE w:val="0"/>
      <w:autoSpaceDN w:val="0"/>
      <w:adjustRightInd w:val="0"/>
      <w:spacing w:before="240" w:after="180"/>
      <w:textAlignment w:val="baseline"/>
      <w:outlineLvl w:val="0"/>
    </w:pPr>
    <w:rPr>
      <w:rFonts w:ascii="Osaka" w:eastAsia="Osaka" w:hAnsi="Osaka"/>
      <w:sz w:val="36"/>
      <w:lang w:val="en-GB" w:eastAsia="en-US"/>
    </w:rPr>
  </w:style>
  <w:style w:type="paragraph" w:styleId="2">
    <w:name w:val="heading 2"/>
    <w:next w:val="a1"/>
    <w:link w:val="2Char"/>
    <w:qFormat/>
    <w:pPr>
      <w:numPr>
        <w:ilvl w:val="1"/>
        <w:numId w:val="6"/>
      </w:numPr>
      <w:tabs>
        <w:tab w:val="left" w:pos="576"/>
      </w:tabs>
      <w:spacing w:before="100" w:beforeAutospacing="1" w:afterLines="100"/>
      <w:outlineLvl w:val="1"/>
    </w:pPr>
    <w:rPr>
      <w:rFonts w:ascii="Osaka" w:eastAsia="Tahoma" w:hAnsi="Osaka"/>
      <w:sz w:val="32"/>
      <w:szCs w:val="24"/>
      <w:lang w:val="en-GB"/>
    </w:rPr>
  </w:style>
  <w:style w:type="paragraph" w:styleId="3">
    <w:name w:val="heading 3"/>
    <w:basedOn w:val="2"/>
    <w:next w:val="a1"/>
    <w:link w:val="3Char"/>
    <w:qFormat/>
    <w:pPr>
      <w:numPr>
        <w:ilvl w:val="2"/>
      </w:numPr>
      <w:tabs>
        <w:tab w:val="left" w:pos="720"/>
      </w:tabs>
      <w:spacing w:before="120"/>
      <w:outlineLvl w:val="2"/>
    </w:pPr>
    <w:rPr>
      <w:rFonts w:eastAsia="Osaka"/>
      <w:sz w:val="28"/>
      <w:szCs w:val="20"/>
      <w:lang w:eastAsia="en-US"/>
    </w:rPr>
  </w:style>
  <w:style w:type="paragraph" w:styleId="4">
    <w:name w:val="heading 4"/>
    <w:basedOn w:val="3"/>
    <w:next w:val="a1"/>
    <w:link w:val="4Char"/>
    <w:qFormat/>
    <w:pPr>
      <w:numPr>
        <w:ilvl w:val="3"/>
      </w:numPr>
      <w:tabs>
        <w:tab w:val="left" w:pos="864"/>
        <w:tab w:val="left" w:pos="1299"/>
      </w:tabs>
      <w:outlineLvl w:val="3"/>
    </w:pPr>
    <w:rPr>
      <w:sz w:val="24"/>
    </w:rPr>
  </w:style>
  <w:style w:type="paragraph" w:styleId="5">
    <w:name w:val="heading 5"/>
    <w:basedOn w:val="4"/>
    <w:next w:val="a1"/>
    <w:qFormat/>
    <w:pPr>
      <w:numPr>
        <w:ilvl w:val="4"/>
      </w:numPr>
      <w:tabs>
        <w:tab w:val="clear" w:pos="1299"/>
        <w:tab w:val="left" w:pos="1008"/>
      </w:tabs>
      <w:outlineLvl w:val="4"/>
    </w:pPr>
    <w:rPr>
      <w:sz w:val="22"/>
    </w:rPr>
  </w:style>
  <w:style w:type="paragraph" w:styleId="6">
    <w:name w:val="heading 6"/>
    <w:basedOn w:val="H6"/>
    <w:next w:val="a1"/>
    <w:qFormat/>
    <w:pPr>
      <w:numPr>
        <w:ilvl w:val="5"/>
      </w:numPr>
      <w:tabs>
        <w:tab w:val="left" w:pos="1152"/>
      </w:tabs>
      <w:outlineLvl w:val="5"/>
    </w:pPr>
  </w:style>
  <w:style w:type="paragraph" w:styleId="7">
    <w:name w:val="heading 7"/>
    <w:basedOn w:val="H6"/>
    <w:next w:val="a1"/>
    <w:qFormat/>
    <w:pPr>
      <w:numPr>
        <w:ilvl w:val="6"/>
      </w:numPr>
      <w:tabs>
        <w:tab w:val="left" w:pos="1296"/>
        <w:tab w:val="left" w:pos="1499"/>
      </w:tabs>
      <w:outlineLvl w:val="6"/>
    </w:pPr>
  </w:style>
  <w:style w:type="paragraph" w:styleId="8">
    <w:name w:val="heading 8"/>
    <w:basedOn w:val="1"/>
    <w:next w:val="a1"/>
    <w:qFormat/>
    <w:pPr>
      <w:numPr>
        <w:ilvl w:val="7"/>
      </w:numPr>
      <w:tabs>
        <w:tab w:val="left" w:pos="1440"/>
      </w:tabs>
      <w:outlineLvl w:val="7"/>
    </w:pPr>
  </w:style>
  <w:style w:type="paragraph" w:styleId="9">
    <w:name w:val="heading 9"/>
    <w:basedOn w:val="8"/>
    <w:next w:val="a1"/>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B3Char2">
    <w:name w:val="B3 Char2"/>
    <w:qFormat/>
    <w:locked/>
    <w:rPr>
      <w:lang w:val="en-GB" w:eastAsia="en-US"/>
    </w:rPr>
  </w:style>
  <w:style w:type="character" w:customStyle="1" w:styleId="EXChar">
    <w:name w:val="EX Char"/>
    <w:link w:val="EX"/>
    <w:qFormat/>
    <w:locked/>
    <w:rPr>
      <w:rFonts w:eastAsia="Tahoma"/>
      <w:lang w:val="en-GB" w:eastAsia="ja-JP"/>
    </w:rPr>
  </w:style>
  <w:style w:type="character" w:customStyle="1" w:styleId="NOZchn">
    <w:name w:val="NO Zchn"/>
    <w:locked/>
    <w:rPr>
      <w:rFonts w:ascii="Wingdings" w:hAnsi="Wingdings"/>
      <w:lang w:val="en-GB" w:eastAsia="en-US"/>
    </w:rPr>
  </w:style>
  <w:style w:type="character" w:customStyle="1" w:styleId="PLChar">
    <w:name w:val="PL Char"/>
    <w:link w:val="PL"/>
    <w:qFormat/>
    <w:rPr>
      <w:rFonts w:ascii="Cambria Math" w:eastAsia="Wingdings" w:hAnsi="Cambria Math"/>
      <w:sz w:val="16"/>
      <w:lang w:val="en-GB" w:eastAsia="en-US"/>
    </w:rPr>
  </w:style>
  <w:style w:type="character" w:customStyle="1" w:styleId="TALCar">
    <w:name w:val="TAL Car"/>
    <w:qFormat/>
    <w:rPr>
      <w:rFonts w:ascii="Osaka" w:eastAsia="Wingdings" w:hAnsi="Osaka"/>
      <w:sz w:val="18"/>
      <w:lang w:val="en-GB" w:eastAsia="ja-JP"/>
    </w:rPr>
  </w:style>
  <w:style w:type="character" w:customStyle="1" w:styleId="TFZchn">
    <w:name w:val="TF Zchn"/>
    <w:locked/>
    <w:rPr>
      <w:rFonts w:ascii="Osaka" w:hAnsi="Osaka"/>
      <w:b/>
      <w:lang w:eastAsia="en-US"/>
    </w:rPr>
  </w:style>
  <w:style w:type="character" w:customStyle="1" w:styleId="Char">
    <w:name w:val="批注文字 Char"/>
    <w:link w:val="a5"/>
    <w:uiPriority w:val="99"/>
    <w:semiHidden/>
    <w:rPr>
      <w:rFonts w:ascii="Osaka" w:eastAsia="MS Mincho" w:hAnsi="Osaka"/>
      <w:sz w:val="18"/>
      <w:lang w:val="en-GB" w:eastAsia="en-US"/>
    </w:rPr>
  </w:style>
  <w:style w:type="character" w:customStyle="1" w:styleId="TANChar">
    <w:name w:val="TAN Char"/>
    <w:link w:val="TAN"/>
    <w:rPr>
      <w:rFonts w:ascii="Osaka" w:hAnsi="Osaka"/>
      <w:sz w:val="18"/>
      <w:lang w:val="en-GB" w:eastAsia="en-US"/>
    </w:rPr>
  </w:style>
  <w:style w:type="character" w:customStyle="1" w:styleId="Doc-text2CharChar">
    <w:name w:val="Doc-text2 Char Char"/>
    <w:qFormat/>
    <w:locked/>
    <w:rPr>
      <w:rFonts w:ascii="Osaka" w:hAnsi="Osaka" w:cs="Osaka"/>
      <w:szCs w:val="24"/>
      <w:lang w:val="en-GB" w:eastAsia="en-GB"/>
    </w:rPr>
  </w:style>
  <w:style w:type="character" w:customStyle="1" w:styleId="B1Char1">
    <w:name w:val="B1 Char1"/>
    <w:qFormat/>
    <w:rPr>
      <w:rFonts w:ascii="Osaka" w:hAnsi="Osaka"/>
      <w:lang w:val="en-GB"/>
    </w:rPr>
  </w:style>
  <w:style w:type="character" w:customStyle="1" w:styleId="im-content1">
    <w:name w:val="im-content1"/>
    <w:rPr>
      <w:vanish w:val="0"/>
      <w:color w:val="333333"/>
    </w:rPr>
  </w:style>
  <w:style w:type="character" w:customStyle="1" w:styleId="Doc-titleChar">
    <w:name w:val="Doc-title Char"/>
    <w:link w:val="Doc-title"/>
    <w:rPr>
      <w:rFonts w:ascii="Osaka" w:hAnsi="Osaka"/>
      <w:szCs w:val="24"/>
      <w:lang w:val="en-GB" w:eastAsia="en-GB"/>
    </w:rPr>
  </w:style>
  <w:style w:type="character" w:customStyle="1" w:styleId="B2Char">
    <w:name w:val="B2 Char"/>
    <w:link w:val="B2"/>
    <w:qFormat/>
    <w:rPr>
      <w:lang w:val="en-GB" w:eastAsia="en-US"/>
    </w:rPr>
  </w:style>
  <w:style w:type="character" w:customStyle="1" w:styleId="B1Zchn">
    <w:name w:val="B1 Zchn"/>
    <w:rPr>
      <w:rFonts w:ascii="Osaka" w:eastAsia="Tahoma" w:hAnsi="Osaka" w:cs="Osaka"/>
      <w:color w:val="0000FF"/>
      <w:kern w:val="2"/>
      <w:lang w:val="en-GB" w:eastAsia="ko-KR" w:bidi="ar-SA"/>
    </w:rPr>
  </w:style>
  <w:style w:type="character" w:customStyle="1" w:styleId="TAHCar">
    <w:name w:val="TAH Car"/>
    <w:link w:val="TAH"/>
    <w:qFormat/>
    <w:rPr>
      <w:rFonts w:ascii="Osaka" w:eastAsia="Wingdings" w:hAnsi="Osaka"/>
      <w:b/>
      <w:sz w:val="18"/>
      <w:lang w:val="en-GB" w:eastAsia="en-US"/>
    </w:rPr>
  </w:style>
  <w:style w:type="character" w:customStyle="1" w:styleId="GuidanceChar">
    <w:name w:val="Guidance Char"/>
    <w:link w:val="Guidance"/>
    <w:rPr>
      <w:i/>
      <w:color w:val="0000FF"/>
      <w:lang w:val="en-GB" w:eastAsia="en-US" w:bidi="ar-SA"/>
    </w:rPr>
  </w:style>
  <w:style w:type="character" w:customStyle="1" w:styleId="Char0">
    <w:name w:val="正文文本 Char"/>
    <w:link w:val="a6"/>
    <w:rPr>
      <w:lang w:val="en-GB" w:eastAsia="en-GB"/>
    </w:rPr>
  </w:style>
  <w:style w:type="character" w:customStyle="1" w:styleId="THChar">
    <w:name w:val="TH Char"/>
    <w:link w:val="TH"/>
    <w:qFormat/>
    <w:rPr>
      <w:rFonts w:ascii="Osaka" w:hAnsi="Osaka"/>
      <w:b/>
      <w:lang w:val="en-GB" w:eastAsia="en-US" w:bidi="ar-SA"/>
    </w:rPr>
  </w:style>
  <w:style w:type="character" w:customStyle="1" w:styleId="TACChar">
    <w:name w:val="TAC Char"/>
    <w:link w:val="TAC"/>
    <w:qFormat/>
    <w:rPr>
      <w:rFonts w:ascii="Osaka" w:hAnsi="Osaka"/>
      <w:sz w:val="18"/>
      <w:lang w:val="en-GB" w:eastAsia="en-US" w:bidi="ar-SA"/>
    </w:rPr>
  </w:style>
  <w:style w:type="character" w:customStyle="1" w:styleId="TALChar">
    <w:name w:val="TAL Char"/>
    <w:link w:val="TAL"/>
    <w:qFormat/>
    <w:rPr>
      <w:rFonts w:ascii="Osaka" w:hAnsi="Osaka"/>
      <w:sz w:val="18"/>
      <w:lang w:val="en-GB" w:eastAsia="en-US" w:bidi="ar-SA"/>
    </w:rPr>
  </w:style>
  <w:style w:type="character" w:customStyle="1" w:styleId="ZGSM">
    <w:name w:val="ZGSM"/>
    <w:semiHidden/>
  </w:style>
  <w:style w:type="character" w:customStyle="1" w:styleId="4Char">
    <w:name w:val="标题 4 Char"/>
    <w:link w:val="4"/>
    <w:rPr>
      <w:rFonts w:ascii="Osaka" w:eastAsia="Osaka" w:hAnsi="Osaka"/>
      <w:sz w:val="24"/>
      <w:lang w:val="en-GB" w:eastAsia="en-US"/>
    </w:rPr>
  </w:style>
  <w:style w:type="character" w:customStyle="1" w:styleId="Char1">
    <w:name w:val="列出段落 Char"/>
    <w:link w:val="a7"/>
    <w:uiPriority w:val="34"/>
    <w:qFormat/>
    <w:locked/>
    <w:rPr>
      <w:rFonts w:eastAsia="Wingdings"/>
      <w:lang w:val="en-GB" w:eastAsia="en-US"/>
    </w:rPr>
  </w:style>
  <w:style w:type="character" w:customStyle="1" w:styleId="2Char">
    <w:name w:val="标题 2 Char"/>
    <w:link w:val="2"/>
    <w:rPr>
      <w:rFonts w:ascii="Osaka" w:eastAsia="Tahoma" w:hAnsi="Osaka"/>
      <w:sz w:val="32"/>
      <w:szCs w:val="24"/>
      <w:lang w:val="en-GB"/>
    </w:rPr>
  </w:style>
  <w:style w:type="character" w:customStyle="1" w:styleId="CommentsChar">
    <w:name w:val="Comments Char"/>
    <w:link w:val="Comments"/>
    <w:rPr>
      <w:rFonts w:ascii="Osaka" w:hAnsi="Osaka"/>
      <w:i/>
      <w:sz w:val="16"/>
      <w:szCs w:val="24"/>
      <w:lang w:val="en-GB" w:eastAsia="en-GB"/>
    </w:rPr>
  </w:style>
  <w:style w:type="character" w:customStyle="1" w:styleId="NOChar">
    <w:name w:val="NO Char"/>
    <w:link w:val="NO"/>
    <w:rPr>
      <w:lang w:val="en-GB" w:eastAsia="en-US" w:bidi="ar-SA"/>
    </w:rPr>
  </w:style>
  <w:style w:type="character" w:customStyle="1" w:styleId="B3Char">
    <w:name w:val="B3 Char"/>
    <w:link w:val="B3"/>
    <w:rPr>
      <w:rFonts w:eastAsia="Tahoma"/>
      <w:snapToGrid w:val="0"/>
      <w:color w:val="000000"/>
      <w:sz w:val="21"/>
      <w:lang w:val="en-GB" w:eastAsia="ja-JP"/>
    </w:rPr>
  </w:style>
  <w:style w:type="character" w:customStyle="1" w:styleId="TFChar">
    <w:name w:val="TF Char"/>
    <w:link w:val="TF"/>
    <w:rPr>
      <w:rFonts w:ascii="Osaka" w:eastAsia="Tahoma" w:hAnsi="Osaka"/>
      <w:b/>
      <w:lang w:val="en-GB" w:eastAsia="en-US"/>
    </w:rPr>
  </w:style>
  <w:style w:type="character" w:customStyle="1" w:styleId="textbodybold1">
    <w:name w:val="textbodybold1"/>
    <w:rPr>
      <w:rFonts w:ascii="Osaka" w:hAnsi="Osaka" w:cs="Osaka" w:hint="default"/>
      <w:b/>
      <w:bCs/>
      <w:color w:val="902630"/>
      <w:sz w:val="18"/>
      <w:szCs w:val="18"/>
    </w:rPr>
  </w:style>
  <w:style w:type="character" w:styleId="a8">
    <w:name w:val="footnote reference"/>
    <w:semiHidden/>
    <w:rPr>
      <w:b/>
      <w:position w:val="6"/>
      <w:sz w:val="16"/>
    </w:rPr>
  </w:style>
  <w:style w:type="character" w:styleId="a9">
    <w:name w:val="annotation reference"/>
    <w:qFormat/>
    <w:rPr>
      <w:sz w:val="16"/>
      <w:szCs w:val="16"/>
    </w:rPr>
  </w:style>
  <w:style w:type="character" w:styleId="aa">
    <w:name w:val="Hyperlink"/>
    <w:qFormat/>
    <w:rPr>
      <w:color w:val="0000FF"/>
      <w:u w:val="single"/>
    </w:rPr>
  </w:style>
  <w:style w:type="character" w:styleId="ab">
    <w:name w:val="page number"/>
    <w:basedOn w:val="a2"/>
    <w:semiHidden/>
  </w:style>
  <w:style w:type="character" w:customStyle="1" w:styleId="msoins0">
    <w:name w:val="msoins"/>
    <w:basedOn w:val="a2"/>
  </w:style>
  <w:style w:type="character" w:customStyle="1" w:styleId="Heading4Char">
    <w:name w:val="Heading4 Char"/>
    <w:link w:val="Heading4"/>
    <w:semiHidden/>
    <w:rPr>
      <w:rFonts w:ascii="Osaka" w:eastAsia="Osaka" w:hAnsi="Osaka"/>
      <w:sz w:val="28"/>
      <w:lang w:val="en-GB" w:eastAsia="en-US"/>
    </w:rPr>
  </w:style>
  <w:style w:type="character" w:customStyle="1" w:styleId="Doc-text2Char">
    <w:name w:val="Doc-text2 Char"/>
    <w:link w:val="Doc-text2"/>
    <w:qFormat/>
    <w:locked/>
    <w:rPr>
      <w:rFonts w:ascii="Osaka" w:hAnsi="Osaka" w:cs="Osaka"/>
      <w:szCs w:val="24"/>
    </w:rPr>
  </w:style>
  <w:style w:type="character" w:customStyle="1" w:styleId="B1Char">
    <w:name w:val="B1 Char"/>
    <w:link w:val="B1"/>
    <w:rPr>
      <w:rFonts w:eastAsia="Tahoma"/>
      <w:lang w:val="en-GB" w:eastAsia="en-US" w:bidi="ar-SA"/>
    </w:rPr>
  </w:style>
  <w:style w:type="character" w:customStyle="1" w:styleId="1Char">
    <w:name w:val="标题 1 Char"/>
    <w:link w:val="1"/>
    <w:rPr>
      <w:rFonts w:ascii="Osaka" w:eastAsia="Osaka" w:hAnsi="Osaka"/>
      <w:sz w:val="36"/>
      <w:lang w:val="en-GB" w:eastAsia="en-US"/>
    </w:rPr>
  </w:style>
  <w:style w:type="character" w:customStyle="1" w:styleId="enumlev1Char">
    <w:name w:val="enumlev1 Char"/>
    <w:link w:val="enumlev1"/>
    <w:rPr>
      <w:rFonts w:eastAsia="ZapfDingbats"/>
      <w:sz w:val="24"/>
      <w:lang w:val="fr-FR" w:eastAsia="en-US" w:bidi="ar-SA"/>
    </w:rPr>
  </w:style>
  <w:style w:type="character" w:customStyle="1" w:styleId="B2Car">
    <w:name w:val="B2 Car"/>
    <w:rPr>
      <w:lang w:val="en-GB" w:eastAsia="en-US"/>
    </w:rPr>
  </w:style>
  <w:style w:type="character" w:customStyle="1" w:styleId="Char2">
    <w:name w:val="页眉 Char"/>
    <w:link w:val="ac"/>
    <w:rPr>
      <w:rFonts w:ascii="Osaka" w:eastAsia="Wingdings" w:hAnsi="Osaka"/>
      <w:b/>
      <w:sz w:val="18"/>
      <w:lang w:val="en-GB" w:eastAsia="en-US" w:bidi="ar-SA"/>
    </w:rPr>
  </w:style>
  <w:style w:type="character" w:customStyle="1" w:styleId="3Char">
    <w:name w:val="标题 3 Char"/>
    <w:link w:val="3"/>
    <w:rPr>
      <w:rFonts w:ascii="Osaka" w:eastAsia="Osaka" w:hAnsi="Osaka"/>
      <w:sz w:val="28"/>
      <w:lang w:val="en-GB" w:eastAsia="en-US"/>
    </w:rPr>
  </w:style>
  <w:style w:type="character" w:customStyle="1" w:styleId="Char3">
    <w:name w:val="样式 页眉 Char"/>
    <w:link w:val="ad"/>
    <w:rPr>
      <w:rFonts w:ascii="Osaka" w:eastAsia="Osaka" w:hAnsi="Osaka"/>
      <w:b w:val="0"/>
      <w:bCs/>
      <w:sz w:val="22"/>
      <w:lang w:val="en-GB" w:eastAsia="en-US" w:bidi="ar-SA"/>
    </w:rPr>
  </w:style>
  <w:style w:type="character" w:customStyle="1" w:styleId="CRCoverPageZchn">
    <w:name w:val="CR Cover Page Zchn"/>
    <w:link w:val="CRCoverPage"/>
    <w:rPr>
      <w:rFonts w:ascii="Osaka" w:eastAsia="Tahoma" w:hAnsi="Osaka"/>
      <w:lang w:eastAsia="en-US" w:bidi="ar-SA"/>
    </w:rPr>
  </w:style>
  <w:style w:type="character" w:styleId="ae">
    <w:name w:val="FollowedHyperlink"/>
    <w:semiHidden/>
    <w:rPr>
      <w:color w:val="800080"/>
      <w:u w:val="single"/>
    </w:rPr>
  </w:style>
  <w:style w:type="paragraph" w:customStyle="1" w:styleId="FirstChange">
    <w:name w:val="First Change"/>
    <w:basedOn w:val="a1"/>
    <w:pPr>
      <w:overflowPunct/>
      <w:autoSpaceDE/>
      <w:autoSpaceDN/>
      <w:adjustRightInd/>
      <w:jc w:val="center"/>
      <w:textAlignment w:val="auto"/>
    </w:pPr>
    <w:rPr>
      <w:rFonts w:eastAsia="Tahoma"/>
      <w:color w:val="FF0000"/>
    </w:rPr>
  </w:style>
  <w:style w:type="paragraph" w:customStyle="1" w:styleId="40">
    <w:name w:val="标题4"/>
    <w:basedOn w:val="a1"/>
    <w:pPr>
      <w:numPr>
        <w:numId w:val="1"/>
      </w:numPr>
      <w:tabs>
        <w:tab w:val="left" w:pos="425"/>
      </w:tabs>
      <w:overflowPunct/>
      <w:autoSpaceDE/>
      <w:autoSpaceDN/>
      <w:adjustRightInd/>
      <w:textAlignment w:val="auto"/>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2"/>
      </w:numPr>
      <w:tabs>
        <w:tab w:val="clear" w:pos="851"/>
        <w:tab w:val="left" w:pos="510"/>
      </w:tabs>
      <w:autoSpaceDE w:val="0"/>
      <w:autoSpaceDN w:val="0"/>
      <w:adjustRightInd w:val="0"/>
      <w:spacing w:before="60" w:after="60"/>
      <w:ind w:left="510" w:hanging="510"/>
      <w:jc w:val="both"/>
    </w:pPr>
    <w:rPr>
      <w:rFonts w:ascii="Osaka" w:eastAsia="Tahoma" w:hAnsi="Osaka" w:cs="Osaka"/>
      <w:color w:val="0000FF"/>
      <w:kern w:val="2"/>
    </w:rPr>
  </w:style>
  <w:style w:type="paragraph" w:customStyle="1" w:styleId="TF">
    <w:name w:val="TF"/>
    <w:basedOn w:val="TH"/>
    <w:link w:val="TFChar"/>
    <w:qFormat/>
    <w:pPr>
      <w:keepNext w:val="0"/>
      <w:overflowPunct/>
      <w:autoSpaceDE/>
      <w:autoSpaceDN/>
      <w:adjustRightInd/>
      <w:spacing w:before="0" w:after="240"/>
      <w:textAlignment w:val="auto"/>
    </w:pPr>
    <w:rPr>
      <w:rFonts w:eastAsia="Tahoma"/>
    </w:rPr>
  </w:style>
  <w:style w:type="paragraph" w:customStyle="1" w:styleId="Comments">
    <w:name w:val="Comments"/>
    <w:basedOn w:val="a1"/>
    <w:link w:val="CommentsChar"/>
    <w:qFormat/>
    <w:pPr>
      <w:overflowPunct/>
      <w:autoSpaceDE/>
      <w:autoSpaceDN/>
      <w:adjustRightInd/>
      <w:spacing w:after="0"/>
      <w:textAlignment w:val="auto"/>
    </w:pPr>
    <w:rPr>
      <w:rFonts w:ascii="Osaka" w:eastAsia="Symbol" w:hAnsi="Osaka"/>
      <w:i/>
      <w:sz w:val="16"/>
      <w:szCs w:val="24"/>
      <w:lang w:eastAsia="en-GB"/>
    </w:rPr>
  </w:style>
  <w:style w:type="paragraph" w:styleId="af">
    <w:name w:val="Revision"/>
    <w:uiPriority w:val="99"/>
    <w:semiHidden/>
    <w:rPr>
      <w:rFonts w:eastAsia="Wingdings"/>
      <w:lang w:val="en-GB" w:eastAsia="en-US"/>
    </w:rPr>
  </w:style>
  <w:style w:type="paragraph" w:customStyle="1" w:styleId="CRCoverPage">
    <w:name w:val="CR Cover Page"/>
    <w:next w:val="a1"/>
    <w:link w:val="CRCoverPageZchn"/>
    <w:pPr>
      <w:spacing w:after="120"/>
    </w:pPr>
    <w:rPr>
      <w:rFonts w:ascii="Osaka" w:eastAsia="Tahoma" w:hAnsi="Osaka"/>
      <w:lang w:eastAsia="en-US"/>
    </w:rPr>
  </w:style>
  <w:style w:type="paragraph" w:styleId="a7">
    <w:name w:val="List Paragraph"/>
    <w:basedOn w:val="a1"/>
    <w:link w:val="Char1"/>
    <w:uiPriority w:val="34"/>
    <w:qFormat/>
    <w:pPr>
      <w:ind w:firstLineChars="200" w:firstLine="420"/>
    </w:pPr>
  </w:style>
  <w:style w:type="paragraph" w:customStyle="1" w:styleId="B4">
    <w:name w:val="B4"/>
    <w:basedOn w:val="41"/>
    <w:pPr>
      <w:widowControl w:val="0"/>
      <w:overflowPunct/>
      <w:spacing w:line="360" w:lineRule="auto"/>
      <w:textAlignment w:val="auto"/>
    </w:pPr>
    <w:rPr>
      <w:rFonts w:eastAsia="Tahoma"/>
      <w:snapToGrid w:val="0"/>
      <w:color w:val="000000"/>
      <w:sz w:val="21"/>
      <w:lang w:eastAsia="zh-CN"/>
    </w:rPr>
  </w:style>
  <w:style w:type="paragraph" w:customStyle="1" w:styleId="B3">
    <w:name w:val="B3"/>
    <w:basedOn w:val="30"/>
    <w:link w:val="B3Char"/>
    <w:qFormat/>
    <w:pPr>
      <w:widowControl w:val="0"/>
      <w:spacing w:line="360" w:lineRule="auto"/>
    </w:pPr>
    <w:rPr>
      <w:rFonts w:eastAsia="Tahoma"/>
      <w:snapToGrid w:val="0"/>
      <w:color w:val="000000"/>
      <w:sz w:val="21"/>
      <w:lang w:eastAsia="ja-JP"/>
    </w:rPr>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Osaka" w:eastAsia="Tahoma" w:hAnsi="Osaka" w:cs="Osaka"/>
      <w:color w:val="0000FF"/>
      <w:kern w:val="2"/>
    </w:rPr>
  </w:style>
  <w:style w:type="paragraph" w:customStyle="1" w:styleId="B2">
    <w:name w:val="B2"/>
    <w:basedOn w:val="20"/>
    <w:link w:val="B2Char"/>
    <w:qFormat/>
    <w:pPr>
      <w:overflowPunct/>
      <w:autoSpaceDE/>
      <w:autoSpaceDN/>
      <w:adjustRightInd/>
      <w:textAlignment w:val="auto"/>
    </w:pPr>
    <w:rPr>
      <w:rFonts w:eastAsia="Symbol"/>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Osaka" w:eastAsia="Symbol" w:hAnsi="Osaka"/>
      <w:szCs w:val="24"/>
    </w:rPr>
  </w:style>
  <w:style w:type="paragraph" w:customStyle="1" w:styleId="EX">
    <w:name w:val="EX"/>
    <w:basedOn w:val="a1"/>
    <w:link w:val="EXChar"/>
    <w:pPr>
      <w:keepLines/>
      <w:ind w:left="1702" w:hanging="1418"/>
    </w:pPr>
    <w:rPr>
      <w:rFonts w:eastAsia="Tahoma"/>
      <w:lang w:eastAsia="ja-JP"/>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Malgun Gothic" w:eastAsia="ZapfDingbats" w:hAnsi="Malgun Gothic"/>
      <w:sz w:val="24"/>
      <w:lang w:val="en-US"/>
    </w:rPr>
  </w:style>
  <w:style w:type="paragraph" w:customStyle="1" w:styleId="B1">
    <w:name w:val="B1"/>
    <w:basedOn w:val="af0"/>
    <w:link w:val="B1Char"/>
    <w:qFormat/>
    <w:rPr>
      <w:rFonts w:eastAsia="Tahoma"/>
    </w:rPr>
  </w:style>
  <w:style w:type="paragraph" w:customStyle="1" w:styleId="a0">
    <w:name w:val="插图题注"/>
    <w:next w:val="a1"/>
    <w:pPr>
      <w:numPr>
        <w:numId w:val="3"/>
      </w:numPr>
      <w:tabs>
        <w:tab w:val="left" w:pos="397"/>
      </w:tabs>
      <w:jc w:val="center"/>
    </w:pPr>
    <w:rPr>
      <w:rFonts w:eastAsia="Wingdings"/>
      <w:b/>
      <w:lang w:val="en-GB"/>
    </w:rPr>
  </w:style>
  <w:style w:type="paragraph" w:customStyle="1" w:styleId="a">
    <w:name w:val="表格题注"/>
    <w:next w:val="a1"/>
    <w:pPr>
      <w:numPr>
        <w:numId w:val="4"/>
      </w:numPr>
      <w:tabs>
        <w:tab w:val="left" w:pos="397"/>
      </w:tabs>
      <w:spacing w:beforeLines="50" w:afterLines="50"/>
      <w:jc w:val="center"/>
    </w:pPr>
    <w:rPr>
      <w:rFonts w:eastAsia="Wingdings"/>
      <w:b/>
      <w:lang w:val="en-GB"/>
    </w:rPr>
  </w:style>
  <w:style w:type="paragraph" w:customStyle="1" w:styleId="Heading4">
    <w:name w:val="Heading4"/>
    <w:basedOn w:val="3"/>
    <w:link w:val="Heading4Char"/>
    <w:semiHidden/>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Guidance">
    <w:name w:val="Guidance"/>
    <w:basedOn w:val="a1"/>
    <w:link w:val="GuidanceChar"/>
    <w:pPr>
      <w:overflowPunct/>
      <w:autoSpaceDE/>
      <w:autoSpaceDN/>
      <w:adjustRightInd/>
      <w:textAlignment w:val="auto"/>
    </w:pPr>
    <w:rPr>
      <w:rFonts w:eastAsia="Symbol"/>
      <w:i/>
      <w:color w:val="0000FF"/>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ZTD">
    <w:name w:val="ZTD"/>
    <w:basedOn w:val="ZB"/>
    <w:semiHidden/>
    <w:pPr>
      <w:framePr w:hRule="auto" w:wrap="notBeside" w:y="852"/>
    </w:pPr>
    <w:rPr>
      <w:i w:val="0"/>
      <w:sz w:val="40"/>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Osaka" w:eastAsia="Wingdings" w:hAnsi="Osaka"/>
      <w:lang w:val="en-GB" w:eastAsia="en-US"/>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Osaka" w:eastAsia="Wingdings" w:hAnsi="Osaka"/>
      <w:lang w:val="en-GB" w:eastAsia="en-US"/>
    </w:rPr>
  </w:style>
  <w:style w:type="paragraph" w:customStyle="1" w:styleId="TH">
    <w:name w:val="TH"/>
    <w:basedOn w:val="a1"/>
    <w:link w:val="THChar"/>
    <w:qFormat/>
    <w:pPr>
      <w:keepNext/>
      <w:keepLines/>
      <w:spacing w:before="60"/>
      <w:jc w:val="center"/>
    </w:pPr>
    <w:rPr>
      <w:rFonts w:ascii="Osaka" w:eastAsia="Symbol" w:hAnsi="Osaka"/>
      <w:b/>
    </w:rPr>
  </w:style>
  <w:style w:type="paragraph" w:customStyle="1" w:styleId="EditorsNote">
    <w:name w:val="Editor's Note"/>
    <w:basedOn w:val="NO"/>
    <w:semiHidden/>
    <w:rPr>
      <w:color w:val="FF0000"/>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NW">
    <w:name w:val="NW"/>
    <w:basedOn w:val="NO"/>
    <w:semiHidden/>
    <w:pPr>
      <w:spacing w:after="0"/>
    </w:pPr>
  </w:style>
  <w:style w:type="paragraph" w:customStyle="1" w:styleId="EW">
    <w:name w:val="EW"/>
    <w:basedOn w:val="EX"/>
    <w:qFormat/>
    <w:pPr>
      <w:overflowPunct/>
      <w:autoSpaceDE/>
      <w:autoSpaceDN/>
      <w:adjustRightInd/>
      <w:spacing w:after="0"/>
      <w:textAlignment w:val="auto"/>
    </w:pPr>
    <w:rPr>
      <w:lang w:eastAsia="en-US"/>
    </w:rPr>
  </w:style>
  <w:style w:type="paragraph" w:customStyle="1" w:styleId="LD">
    <w:name w:val="LD"/>
    <w:semiHidden/>
    <w:pPr>
      <w:keepNext/>
      <w:keepLines/>
      <w:overflowPunct w:val="0"/>
      <w:autoSpaceDE w:val="0"/>
      <w:autoSpaceDN w:val="0"/>
      <w:adjustRightInd w:val="0"/>
      <w:spacing w:line="180" w:lineRule="exact"/>
      <w:textAlignment w:val="baseline"/>
    </w:pPr>
    <w:rPr>
      <w:rFonts w:ascii="Cambria Math" w:eastAsia="Wingdings" w:hAnsi="Cambria Math"/>
      <w:lang w:val="en-GB" w:eastAsia="en-US"/>
    </w:rPr>
  </w:style>
  <w:style w:type="paragraph" w:customStyle="1" w:styleId="TAH">
    <w:name w:val="TAH"/>
    <w:basedOn w:val="TAC"/>
    <w:link w:val="TAHCar"/>
    <w:qFormat/>
    <w:rPr>
      <w:rFonts w:eastAsia="Wingdings"/>
      <w:b/>
    </w:rPr>
  </w:style>
  <w:style w:type="paragraph" w:customStyle="1" w:styleId="TAL">
    <w:name w:val="TAL"/>
    <w:basedOn w:val="a1"/>
    <w:link w:val="TALChar"/>
    <w:qFormat/>
    <w:pPr>
      <w:keepNext/>
      <w:keepLines/>
      <w:spacing w:after="0"/>
    </w:pPr>
    <w:rPr>
      <w:rFonts w:ascii="Osaka" w:eastAsia="Symbol" w:hAnsi="Osaka"/>
      <w:sz w:val="18"/>
    </w:rPr>
  </w:style>
  <w:style w:type="paragraph" w:customStyle="1" w:styleId="TAR">
    <w:name w:val="TAR"/>
    <w:basedOn w:val="TAL"/>
    <w:semiHidden/>
    <w:pPr>
      <w:jc w:val="right"/>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ambria Math" w:eastAsia="Wingdings" w:hAnsi="Cambria Math"/>
      <w:sz w:val="16"/>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Osaka" w:eastAsia="Wingdings" w:hAnsi="Osaka"/>
      <w:sz w:val="32"/>
      <w:lang w:val="en-GB" w:eastAsia="en-US"/>
    </w:rPr>
  </w:style>
  <w:style w:type="paragraph" w:customStyle="1" w:styleId="EQ">
    <w:name w:val="EQ"/>
    <w:basedOn w:val="a1"/>
    <w:next w:val="a1"/>
    <w:pPr>
      <w:keepLines/>
      <w:tabs>
        <w:tab w:val="center" w:pos="4536"/>
        <w:tab w:val="right" w:pos="9072"/>
      </w:tabs>
    </w:pPr>
    <w:rPr>
      <w:lang w:val="en-US"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ZapfDingbats"/>
      <w:sz w:val="24"/>
      <w:lang w:val="fr-FR"/>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Malgun Gothic" w:eastAsia="ZapfDingbats" w:hAnsi="Malgun Gothic"/>
      <w:sz w:val="24"/>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Osaka" w:eastAsia="Wingdings" w:hAnsi="Osaka"/>
      <w:b/>
      <w:sz w:val="34"/>
      <w:lang w:val="en-GB" w:eastAsia="en-US"/>
    </w:rPr>
  </w:style>
  <w:style w:type="paragraph" w:customStyle="1" w:styleId="TAC">
    <w:name w:val="TAC"/>
    <w:basedOn w:val="TAL"/>
    <w:link w:val="TACChar"/>
    <w:qFormat/>
    <w:pPr>
      <w:jc w:val="center"/>
    </w:pPr>
  </w:style>
  <w:style w:type="paragraph" w:styleId="af1">
    <w:name w:val="annotation subject"/>
    <w:basedOn w:val="a5"/>
    <w:next w:val="a5"/>
    <w:semiHidden/>
    <w:pPr>
      <w:widowControl/>
      <w:spacing w:line="240" w:lineRule="auto"/>
    </w:pPr>
    <w:rPr>
      <w:rFonts w:ascii="Wingdings" w:eastAsia="Wingdings"/>
      <w:b/>
      <w:bCs/>
      <w:sz w:val="20"/>
      <w:lang w:eastAsia="en-GB"/>
    </w:rPr>
  </w:style>
  <w:style w:type="paragraph" w:styleId="10">
    <w:name w:val="index 1"/>
    <w:basedOn w:val="a1"/>
    <w:semiHidden/>
    <w:pPr>
      <w:keepLines/>
    </w:pPr>
  </w:style>
  <w:style w:type="paragraph" w:styleId="af2">
    <w:name w:val="Normal (Web)"/>
    <w:basedOn w:val="a1"/>
    <w:uiPriority w:val="99"/>
    <w:unhideWhenUsed/>
    <w:pPr>
      <w:overflowPunct/>
      <w:autoSpaceDE/>
      <w:autoSpaceDN/>
      <w:adjustRightInd/>
      <w:spacing w:before="100" w:beforeAutospacing="1" w:after="100" w:afterAutospacing="1"/>
      <w:textAlignment w:val="auto"/>
    </w:pPr>
    <w:rPr>
      <w:rFonts w:ascii="Tahoma" w:eastAsia="Tahoma" w:hAnsi="Tahoma" w:cs="Tahoma"/>
      <w:sz w:val="24"/>
      <w:szCs w:val="24"/>
      <w:lang w:val="en-US" w:eastAsia="zh-CN"/>
    </w:rPr>
  </w:style>
  <w:style w:type="paragraph" w:styleId="21">
    <w:name w:val="Body Text 2"/>
    <w:basedOn w:val="a1"/>
    <w:semiHidden/>
    <w:rPr>
      <w:i/>
    </w:rPr>
  </w:style>
  <w:style w:type="paragraph" w:styleId="af3">
    <w:name w:val="table of figures"/>
    <w:basedOn w:val="a1"/>
    <w:next w:val="a1"/>
    <w:semiHidden/>
    <w:pPr>
      <w:ind w:left="400" w:hanging="400"/>
      <w:jc w:val="center"/>
    </w:pPr>
    <w:rPr>
      <w:b/>
    </w:rPr>
  </w:style>
  <w:style w:type="paragraph" w:styleId="31">
    <w:name w:val="Body Text Indent 3"/>
    <w:basedOn w:val="a1"/>
    <w:semiHidden/>
    <w:pPr>
      <w:ind w:left="1080"/>
    </w:pPr>
  </w:style>
  <w:style w:type="paragraph" w:customStyle="1" w:styleId="contribution">
    <w:name w:val="contribution"/>
    <w:basedOn w:val="1"/>
    <w:semiHidden/>
    <w:pPr>
      <w:numPr>
        <w:numId w:val="0"/>
      </w:numPr>
      <w:tabs>
        <w:tab w:val="left" w:pos="45"/>
        <w:tab w:val="left" w:pos="432"/>
      </w:tabs>
      <w:ind w:left="405" w:hanging="405"/>
    </w:pPr>
  </w:style>
  <w:style w:type="paragraph" w:styleId="41">
    <w:name w:val="List 4"/>
    <w:basedOn w:val="30"/>
    <w:semiHidden/>
    <w:pPr>
      <w:ind w:left="1418"/>
    </w:pPr>
  </w:style>
  <w:style w:type="paragraph" w:customStyle="1" w:styleId="ad">
    <w:name w:val="样式 页眉"/>
    <w:basedOn w:val="ac"/>
    <w:link w:val="Char3"/>
    <w:rPr>
      <w:rFonts w:eastAsia="Osaka"/>
      <w:b w:val="0"/>
      <w:bCs/>
      <w:sz w:val="22"/>
    </w:rPr>
  </w:style>
  <w:style w:type="paragraph" w:styleId="50">
    <w:name w:val="List 5"/>
    <w:basedOn w:val="41"/>
    <w:semiHidden/>
    <w:pPr>
      <w:ind w:left="1702"/>
    </w:pPr>
  </w:style>
  <w:style w:type="paragraph" w:styleId="af4">
    <w:name w:val="footnote text"/>
    <w:basedOn w:val="a1"/>
    <w:semiHidden/>
    <w:pPr>
      <w:keepLines/>
      <w:ind w:left="454" w:hanging="454"/>
    </w:pPr>
    <w:rPr>
      <w:sz w:val="16"/>
    </w:rPr>
  </w:style>
  <w:style w:type="paragraph" w:styleId="ac">
    <w:name w:val="header"/>
    <w:link w:val="Char2"/>
    <w:pPr>
      <w:widowControl w:val="0"/>
      <w:overflowPunct w:val="0"/>
      <w:autoSpaceDE w:val="0"/>
      <w:autoSpaceDN w:val="0"/>
      <w:adjustRightInd w:val="0"/>
      <w:textAlignment w:val="baseline"/>
    </w:pPr>
    <w:rPr>
      <w:rFonts w:ascii="Osaka" w:eastAsia="Wingdings" w:hAnsi="Osaka"/>
      <w:b/>
      <w:sz w:val="18"/>
      <w:lang w:val="en-GB" w:eastAsia="en-US"/>
    </w:rPr>
  </w:style>
  <w:style w:type="paragraph" w:styleId="90">
    <w:name w:val="toc 9"/>
    <w:basedOn w:val="80"/>
    <w:semiHidden/>
    <w:pPr>
      <w:ind w:left="1418" w:hanging="1418"/>
    </w:pPr>
  </w:style>
  <w:style w:type="paragraph" w:styleId="af5">
    <w:name w:val="footer"/>
    <w:basedOn w:val="ac"/>
    <w:pPr>
      <w:jc w:val="center"/>
    </w:pPr>
    <w:rPr>
      <w:i/>
    </w:rPr>
  </w:style>
  <w:style w:type="paragraph" w:styleId="af6">
    <w:name w:val="Balloon Text"/>
    <w:basedOn w:val="a1"/>
    <w:semiHidden/>
    <w:rPr>
      <w:rFonts w:ascii="@PMingLiU" w:hAnsi="@PMingLiU" w:cs="@PMingLiU"/>
      <w:sz w:val="16"/>
      <w:szCs w:val="16"/>
    </w:rPr>
  </w:style>
  <w:style w:type="paragraph" w:styleId="80">
    <w:name w:val="toc 8"/>
    <w:basedOn w:val="11"/>
    <w:semiHidden/>
    <w:pPr>
      <w:spacing w:before="180"/>
      <w:ind w:left="2693" w:hanging="2693"/>
    </w:pPr>
    <w:rPr>
      <w:b/>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styleId="51">
    <w:name w:val="List Bullet 5"/>
    <w:basedOn w:val="42"/>
    <w:semiHidden/>
    <w:pPr>
      <w:ind w:left="1702"/>
    </w:pPr>
  </w:style>
  <w:style w:type="paragraph" w:styleId="af7">
    <w:name w:val="Plain Text"/>
    <w:basedOn w:val="a1"/>
    <w:semiHidden/>
    <w:rPr>
      <w:rFonts w:ascii="Cambria Math" w:hAnsi="Cambria Math"/>
      <w:lang w:val="nb-NO"/>
    </w:rPr>
  </w:style>
  <w:style w:type="paragraph" w:styleId="af8">
    <w:name w:val="Body Text Indent"/>
    <w:basedOn w:val="a1"/>
    <w:semiHidden/>
    <w:pPr>
      <w:widowControl w:val="0"/>
      <w:ind w:left="210"/>
      <w:jc w:val="both"/>
    </w:pPr>
    <w:rPr>
      <w:snapToGrid w:val="0"/>
      <w:kern w:val="2"/>
      <w:sz w:val="21"/>
    </w:rPr>
  </w:style>
  <w:style w:type="paragraph" w:styleId="a6">
    <w:name w:val="Body Text"/>
    <w:basedOn w:val="a1"/>
    <w:link w:val="Char0"/>
    <w:rPr>
      <w:rFonts w:eastAsia="Symbol"/>
      <w:lang w:eastAsia="en-GB"/>
    </w:rPr>
  </w:style>
  <w:style w:type="paragraph" w:styleId="32">
    <w:name w:val="Body Text 3"/>
    <w:basedOn w:val="a1"/>
    <w:semiHidden/>
    <w:pPr>
      <w:keepNext/>
      <w:keepLines/>
    </w:pPr>
    <w:rPr>
      <w:rFonts w:eastAsia="Verdana"/>
      <w:color w:val="000000"/>
    </w:rPr>
  </w:style>
  <w:style w:type="paragraph" w:styleId="a5">
    <w:name w:val="annotation text"/>
    <w:basedOn w:val="a1"/>
    <w:link w:val="Char"/>
    <w:uiPriority w:val="99"/>
    <w:semiHidden/>
    <w:pPr>
      <w:widowControl w:val="0"/>
      <w:spacing w:line="360" w:lineRule="atLeast"/>
    </w:pPr>
    <w:rPr>
      <w:rFonts w:ascii="Osaka" w:eastAsia="MS Mincho" w:hAnsi="Osaka"/>
      <w:sz w:val="18"/>
    </w:rPr>
  </w:style>
  <w:style w:type="paragraph" w:styleId="af9">
    <w:name w:val="Document Map"/>
    <w:basedOn w:val="a1"/>
    <w:semiHidden/>
    <w:pPr>
      <w:shd w:val="clear" w:color="auto" w:fill="000080"/>
    </w:pPr>
    <w:rPr>
      <w:rFonts w:ascii="@PMingLiU" w:hAnsi="@PMingLiU"/>
    </w:rPr>
  </w:style>
  <w:style w:type="paragraph" w:customStyle="1" w:styleId="ZV">
    <w:name w:val="ZV"/>
    <w:basedOn w:val="ZU"/>
    <w:semiHidden/>
    <w:pPr>
      <w:framePr w:wrap="notBeside" w:y="16161"/>
    </w:pPr>
  </w:style>
  <w:style w:type="paragraph" w:customStyle="1" w:styleId="TT">
    <w:name w:val="TT"/>
    <w:basedOn w:val="1"/>
    <w:next w:val="a1"/>
    <w:semiHidden/>
    <w:pPr>
      <w:outlineLvl w:val="9"/>
    </w:pPr>
  </w:style>
  <w:style w:type="paragraph" w:styleId="afa">
    <w:name w:val="caption"/>
    <w:basedOn w:val="a1"/>
    <w:next w:val="a1"/>
    <w:qFormat/>
    <w:pPr>
      <w:spacing w:before="120" w:after="120"/>
    </w:pPr>
    <w:rPr>
      <w: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Osaka" w:eastAsia="Symbol" w:hAnsi="Osaka"/>
      <w:szCs w:val="24"/>
      <w:lang w:val="en-US" w:eastAsia="en-GB"/>
    </w:rPr>
  </w:style>
  <w:style w:type="paragraph" w:styleId="afb">
    <w:name w:val="List Bullet"/>
    <w:basedOn w:val="af0"/>
    <w:semiHidden/>
  </w:style>
  <w:style w:type="paragraph" w:customStyle="1" w:styleId="References">
    <w:name w:val="References"/>
    <w:basedOn w:val="a1"/>
    <w:pPr>
      <w:numPr>
        <w:numId w:val="5"/>
      </w:numPr>
      <w:tabs>
        <w:tab w:val="left" w:pos="360"/>
      </w:tabs>
      <w:overflowPunct/>
      <w:adjustRightInd/>
      <w:snapToGrid w:val="0"/>
      <w:spacing w:after="60"/>
      <w:jc w:val="both"/>
      <w:textAlignment w:val="auto"/>
    </w:pPr>
    <w:rPr>
      <w:rFonts w:ascii="Times New Roman" w:eastAsia="宋体" w:hAnsi="Times New Roman" w:cs="Times New Roman"/>
      <w:szCs w:val="16"/>
      <w:lang w:val="en-US"/>
    </w:rPr>
  </w:style>
  <w:style w:type="paragraph" w:styleId="22">
    <w:name w:val="List Bullet 2"/>
    <w:basedOn w:val="afb"/>
    <w:semiHidden/>
    <w:pPr>
      <w:ind w:left="851"/>
    </w:pPr>
  </w:style>
  <w:style w:type="paragraph" w:styleId="33">
    <w:name w:val="List Bullet 3"/>
    <w:basedOn w:val="22"/>
    <w:semiHidden/>
    <w:pPr>
      <w:ind w:left="1135"/>
    </w:p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Osaka" w:eastAsia="Tahoma" w:hAnsi="Osaka" w:cs="Osaka"/>
      <w:color w:val="0000FF"/>
      <w:kern w:val="2"/>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Osaka" w:eastAsia="Wingdings" w:hAnsi="Osaka"/>
      <w:lang w:val="en-GB" w:eastAsia="en-US"/>
    </w:rPr>
  </w:style>
  <w:style w:type="paragraph" w:styleId="42">
    <w:name w:val="List Bullet 4"/>
    <w:basedOn w:val="33"/>
    <w:semiHidden/>
    <w:pPr>
      <w:ind w:left="1418"/>
    </w:pPr>
  </w:style>
  <w:style w:type="paragraph" w:customStyle="1" w:styleId="TAN">
    <w:name w:val="TAN"/>
    <w:basedOn w:val="TAL"/>
    <w:link w:val="TANChar"/>
    <w:pPr>
      <w:ind w:left="851" w:hanging="851"/>
    </w:p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Wingdings"/>
      <w:sz w:val="22"/>
      <w:lang w:val="en-GB" w:eastAsia="en-US"/>
    </w:rPr>
  </w:style>
  <w:style w:type="paragraph" w:styleId="23">
    <w:name w:val="toc 2"/>
    <w:basedOn w:val="11"/>
    <w:semiHidden/>
    <w:pPr>
      <w:spacing w:before="0"/>
      <w:ind w:left="851" w:hanging="851"/>
    </w:pPr>
    <w:rPr>
      <w:sz w:val="20"/>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Osaka" w:eastAsia="Wingdings" w:hAnsi="Osaka"/>
      <w:i/>
      <w:lang w:val="en-GB" w:eastAsia="en-US"/>
    </w:rPr>
  </w:style>
  <w:style w:type="paragraph" w:styleId="34">
    <w:name w:val="toc 3"/>
    <w:basedOn w:val="23"/>
    <w:semiHidden/>
    <w:pPr>
      <w:ind w:left="1134" w:hanging="1134"/>
    </w:pPr>
  </w:style>
  <w:style w:type="paragraph" w:styleId="52">
    <w:name w:val="toc 5"/>
    <w:basedOn w:val="43"/>
    <w:semiHidden/>
    <w:pPr>
      <w:ind w:left="1701" w:hanging="1701"/>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afc">
    <w:name w:val="index heading"/>
    <w:basedOn w:val="a1"/>
    <w:next w:val="a1"/>
    <w:semiHidden/>
    <w:pPr>
      <w:pBdr>
        <w:top w:val="single" w:sz="12" w:space="0" w:color="auto"/>
      </w:pBdr>
      <w:spacing w:before="360" w:after="240"/>
    </w:pPr>
    <w:rPr>
      <w:b/>
      <w:i/>
      <w:sz w:val="26"/>
    </w:rPr>
  </w:style>
  <w:style w:type="paragraph" w:styleId="20">
    <w:name w:val="List 2"/>
    <w:basedOn w:val="af0"/>
    <w:semiHidden/>
    <w:pPr>
      <w:ind w:left="851"/>
    </w:pPr>
  </w:style>
  <w:style w:type="paragraph" w:styleId="30">
    <w:name w:val="List 3"/>
    <w:basedOn w:val="20"/>
    <w:semiHidden/>
    <w:pPr>
      <w:ind w:left="1135"/>
    </w:pPr>
  </w:style>
  <w:style w:type="paragraph" w:styleId="24">
    <w:name w:val="List Number 2"/>
    <w:basedOn w:val="afd"/>
    <w:semiHidden/>
    <w:pPr>
      <w:ind w:left="851"/>
    </w:pPr>
  </w:style>
  <w:style w:type="paragraph" w:styleId="af0">
    <w:name w:val="List"/>
    <w:basedOn w:val="a1"/>
    <w:semiHidden/>
    <w:pPr>
      <w:ind w:left="568" w:hanging="284"/>
    </w:p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Malgun Gothic" w:eastAsia="ZapfDingbats" w:hAnsi="Malgun Gothic"/>
      <w:sz w:val="24"/>
      <w:lang w:val="en-US"/>
    </w:rPr>
  </w:style>
  <w:style w:type="paragraph" w:styleId="afd">
    <w:name w:val="List Number"/>
    <w:basedOn w:val="af0"/>
    <w:semiHidden/>
  </w:style>
  <w:style w:type="paragraph" w:customStyle="1" w:styleId="H6">
    <w:name w:val="H6"/>
    <w:basedOn w:val="5"/>
    <w:next w:val="a1"/>
    <w:semiHidden/>
    <w:pPr>
      <w:ind w:left="1985" w:hanging="1985"/>
      <w:outlineLvl w:val="9"/>
    </w:pPr>
    <w:rPr>
      <w:sz w:val="20"/>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Osaka" w:eastAsia="Wingdings" w:hAnsi="Osaka"/>
      <w:sz w:val="40"/>
      <w:lang w:val="en-GB" w:eastAsia="en-US"/>
    </w:rPr>
  </w:style>
  <w:style w:type="paragraph" w:customStyle="1" w:styleId="NO">
    <w:name w:val="NO"/>
    <w:basedOn w:val="a1"/>
    <w:link w:val="NOChar"/>
    <w:qFormat/>
    <w:pPr>
      <w:keepLines/>
      <w:ind w:left="1135" w:hanging="851"/>
    </w:pPr>
    <w:rPr>
      <w:rFonts w:eastAsia="Symbol"/>
    </w:rPr>
  </w:style>
  <w:style w:type="paragraph" w:styleId="43">
    <w:name w:val="toc 4"/>
    <w:basedOn w:val="34"/>
    <w:semiHidden/>
    <w:pPr>
      <w:ind w:left="1418" w:hanging="1418"/>
    </w:pPr>
  </w:style>
  <w:style w:type="paragraph" w:styleId="25">
    <w:name w:val="index 2"/>
    <w:basedOn w:val="10"/>
    <w:semiHidden/>
    <w:pPr>
      <w:ind w:left="284"/>
    </w:p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3"/>
    <w:uiPriority w:val="59"/>
    <w:qFormat/>
    <w:pPr>
      <w:widowControl w:val="0"/>
      <w:autoSpaceDE w:val="0"/>
      <w:autoSpaceDN w:val="0"/>
      <w:adjustRightInd w:val="0"/>
      <w:spacing w:after="120"/>
      <w:jc w:val="both"/>
    </w:pPr>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5055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366</TotalTime>
  <Pages>1</Pages>
  <Words>624</Words>
  <Characters>3563</Characters>
  <Application>Microsoft Office Word</Application>
  <DocSecurity>0</DocSecurity>
  <Lines>29</Lines>
  <Paragraphs>8</Paragraphs>
  <ScaleCrop>false</ScaleCrop>
  <Company>Huawei Technologies Co.,Ltd.</Company>
  <LinksUpToDate>false</LinksUpToDate>
  <CharactersWithSpaces>4179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100</cp:revision>
  <cp:lastPrinted>2010-01-06T08:23:00Z</cp:lastPrinted>
  <dcterms:created xsi:type="dcterms:W3CDTF">2022-08-08T01:35:00Z</dcterms:created>
  <dcterms:modified xsi:type="dcterms:W3CDTF">2022-08-10T09:03:00Z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(3)hrQWYkrE0DuHLh7QMCgUvW+6l1kLczqaxoJQD6jHu+Co+59gfSZ6//pFgfk+yn8AjTCBaKbx
MZsh8w//jTUiXbdNdVZ2AxnJivWfpAzRUN3JsHWF9gCmFceL2yCgBcpuHvNhl1rIXob84DW5
44BUnPggV9YepTRT83CtCJmrtLuTIWnbjxYNlk4NTokoOhyEHo1sbeAb5ia5+luvEb6Dx7D9
euKiKp4xUqmHOfdsAM</vt:lpwstr>
  </property>
  <property fmtid="{D5CDD505-2E9C-101B-9397-08002B2CF9AE}" pid="11" name="_2015_ms_pID_7253431">
    <vt:lpwstr>f25rsOFlHr0anyCeJUIfrIOmxjvfkp9u4rCzPEn6az3fAkiR1lFXiH
Zig9Q3sS42m1fd4NHFvKgDjrH1Oa6XdfSuXYpV5xY/+4ipwpHtcTeyo6NJ3VrDstVS/yKjkr
CCmeI7S3kvWkZk4ydj7hK7zG8S0A9HEtSH1RHslba1n7OHyqFAV1ftIwtySWE/aFJqxRx4AL
4z56CJblN3Ee/RGFqAr4Q8EKKcDAUP2W7A/W</vt:lpwstr>
  </property>
  <property fmtid="{D5CDD505-2E9C-101B-9397-08002B2CF9AE}" pid="12" name="_2015_ms_pID_7253432">
    <vt:lpwstr>MIokS2CICZ/hjf+1se7D9Ad30RbywuEa7SEb
quwLp1gpsc3XW1lnTJeUaOjo1T52RotW6fbkA8nU2cv1PwVlZu8=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2052-0.0.0.0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1660122186</vt:lpwstr>
  </property>
</Properties>
</file>